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tbl>
      <w:tblPr>
        <w:tblStyle w:val="style105"/>
        <w:tblW w:w="5000" w:type="pct"/>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CellMar>
          <w:top w:w="0" w:type="dxa"/>
          <w:left w:w="108" w:type="dxa"/>
          <w:bottom w:w="0" w:type="dxa"/>
          <w:right w:w="108" w:type="dxa"/>
        </w:tblCellMar>
      </w:tblPr>
      <w:tblGrid>
        <w:gridCol w:w="459"/>
        <w:gridCol w:w="414"/>
        <w:gridCol w:w="945"/>
        <w:gridCol w:w="513"/>
        <w:gridCol w:w="459"/>
        <w:gridCol w:w="7151"/>
      </w:tblGrid>
      <w:tr w14:paraId="60F1E04D">
        <w:trPr>
          <w:trHeight w:val="516" w:hRule="atLeast"/>
          <w:jc w:val="center"/>
        </w:trPr>
        <w:tc>
          <w:tcPr>
            <w:tcW w:w="5000" w:type="pct"/>
            <w:gridSpan w:val="6"/>
            <w:tcBorders>
              <w:top w:val="single" w:sz="4" w:space="0" w:color="auto"/>
              <w:left w:val="single" w:sz="4" w:space="0" w:color="auto"/>
              <w:right w:val="single" w:sz="4" w:space="0" w:color="auto"/>
            </w:tcBorders>
            <w:vAlign w:val="center"/>
          </w:tcPr>
          <w:p w14:paraId="78EC0883">
            <w:pPr>
              <w:pStyle w:val="style0"/>
              <w:spacing w:lineRule="exact" w:line="320"/>
              <w:jc w:val="center"/>
              <w:rPr>
                <w:rFonts w:ascii="仿宋" w:cs="仿宋" w:eastAsia="仿宋" w:hAnsi="仿宋" w:hint="eastAsia"/>
                <w:b/>
                <w:color w:val="auto"/>
                <w:sz w:val="24"/>
                <w:highlight w:val="none"/>
              </w:rPr>
            </w:pPr>
            <w:r>
              <w:rPr>
                <w:rFonts w:ascii="仿宋" w:cs="仿宋" w:eastAsia="仿宋" w:hAnsi="仿宋" w:hint="eastAsia"/>
                <w:b/>
                <w:color w:val="auto"/>
                <w:sz w:val="32"/>
                <w:szCs w:val="32"/>
                <w:highlight w:val="none"/>
                <w:lang w:val="en-US" w:eastAsia="zh-CN"/>
              </w:rPr>
              <w:t>货物</w:t>
            </w:r>
            <w:r>
              <w:rPr>
                <w:rFonts w:ascii="仿宋" w:cs="仿宋" w:eastAsia="仿宋" w:hAnsi="仿宋" w:hint="eastAsia"/>
                <w:b/>
                <w:color w:val="auto"/>
                <w:sz w:val="32"/>
                <w:szCs w:val="32"/>
                <w:highlight w:val="none"/>
              </w:rPr>
              <w:t>需求一览表</w:t>
            </w:r>
          </w:p>
        </w:tc>
      </w:tr>
      <w:tr w14:paraId="78ED1E1A">
        <w:tblPrEx/>
        <w:trPr>
          <w:trHeight w:val="516" w:hRule="atLeast"/>
          <w:jc w:val="center"/>
        </w:trPr>
        <w:tc>
          <w:tcPr>
            <w:tcW w:w="231" w:type="pct"/>
            <w:vMerge w:val="restart"/>
            <w:tcBorders>
              <w:top w:val="single" w:sz="4" w:space="0" w:color="auto"/>
              <w:left w:val="single" w:sz="4" w:space="0" w:color="auto"/>
              <w:right w:val="single" w:sz="4" w:space="0" w:color="auto"/>
            </w:tcBorders>
            <w:tcMar/>
            <w:vAlign w:val="center"/>
          </w:tcPr>
          <w:p w14:paraId="331AF412">
            <w:pPr>
              <w:pStyle w:val="style0"/>
              <w:jc w:val="center"/>
              <w:rPr>
                <w:rFonts w:ascii="仿宋" w:cs="仿宋" w:eastAsia="仿宋" w:hAnsi="仿宋" w:hint="eastAsia"/>
                <w:b/>
                <w:bCs/>
                <w:color w:val="auto"/>
                <w:sz w:val="24"/>
                <w:szCs w:val="24"/>
                <w:highlight w:val="none"/>
                <w:lang w:val="en-US" w:eastAsia="zh-CN"/>
              </w:rPr>
            </w:pPr>
            <w:r>
              <w:rPr>
                <w:rFonts w:ascii="仿宋" w:cs="仿宋" w:eastAsia="仿宋" w:hAnsi="仿宋" w:hint="eastAsia"/>
                <w:b/>
                <w:bCs/>
                <w:color w:val="auto"/>
                <w:sz w:val="24"/>
                <w:szCs w:val="24"/>
                <w:highlight w:val="none"/>
              </w:rPr>
              <w:t>采购清单及货物参数</w:t>
            </w:r>
          </w:p>
        </w:tc>
        <w:tc>
          <w:tcPr>
            <w:tcW w:w="208" w:type="pct"/>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05A1B54D">
            <w:pPr>
              <w:pStyle w:val="style0"/>
              <w:jc w:val="center"/>
              <w:rPr>
                <w:rFonts w:ascii="仿宋" w:cs="仿宋" w:eastAsia="仿宋" w:hAnsi="仿宋" w:hint="eastAsia"/>
                <w:b/>
                <w:bCs/>
                <w:color w:val="auto"/>
                <w:sz w:val="24"/>
                <w:szCs w:val="24"/>
                <w:highlight w:val="none"/>
              </w:rPr>
            </w:pPr>
            <w:r>
              <w:rPr>
                <w:rFonts w:ascii="仿宋" w:cs="仿宋" w:eastAsia="仿宋" w:hAnsi="仿宋" w:hint="eastAsia"/>
                <w:b/>
                <w:bCs/>
                <w:color w:val="auto"/>
                <w:sz w:val="24"/>
                <w:szCs w:val="24"/>
                <w:highlight w:val="none"/>
              </w:rPr>
              <w:t>序号</w:t>
            </w:r>
          </w:p>
        </w:tc>
        <w:tc>
          <w:tcPr>
            <w:tcW w:w="475" w:type="pct"/>
            <w:tcBorders>
              <w:top w:val="single" w:sz="4" w:space="0" w:color="auto"/>
              <w:left w:val="single" w:sz="4" w:space="0" w:color="auto"/>
              <w:bottom w:val="single" w:sz="4" w:space="0" w:color="auto"/>
              <w:right w:val="single" w:sz="4" w:space="0" w:color="auto"/>
            </w:tcBorders>
            <w:tcMar/>
            <w:vAlign w:val="center"/>
          </w:tcPr>
          <w:p w14:paraId="7B039E29">
            <w:pPr>
              <w:pStyle w:val="style0"/>
              <w:jc w:val="center"/>
              <w:rPr>
                <w:rFonts w:ascii="仿宋" w:cs="仿宋" w:eastAsia="仿宋" w:hAnsi="仿宋" w:hint="eastAsia"/>
                <w:b/>
                <w:bCs/>
                <w:color w:val="auto"/>
                <w:sz w:val="24"/>
                <w:szCs w:val="24"/>
                <w:highlight w:val="none"/>
              </w:rPr>
            </w:pPr>
            <w:r>
              <w:rPr>
                <w:rFonts w:ascii="仿宋" w:cs="仿宋" w:eastAsia="仿宋" w:hAnsi="仿宋" w:hint="eastAsia"/>
                <w:b/>
                <w:bCs/>
                <w:color w:val="auto"/>
                <w:sz w:val="24"/>
                <w:szCs w:val="24"/>
                <w:highlight w:val="none"/>
              </w:rPr>
              <w:t>采购货物名称</w:t>
            </w:r>
          </w:p>
        </w:tc>
        <w:tc>
          <w:tcPr>
            <w:tcW w:w="258" w:type="pct"/>
            <w:tcBorders>
              <w:top w:val="single" w:sz="4" w:space="0" w:color="auto"/>
              <w:left w:val="single" w:sz="4" w:space="0" w:color="auto"/>
              <w:bottom w:val="single" w:sz="4" w:space="0" w:color="auto"/>
              <w:right w:val="single" w:sz="4" w:space="0" w:color="auto"/>
            </w:tcBorders>
            <w:tcMar/>
            <w:vAlign w:val="center"/>
          </w:tcPr>
          <w:p w14:paraId="2402297C">
            <w:pPr>
              <w:pStyle w:val="style0"/>
              <w:jc w:val="center"/>
              <w:rPr>
                <w:rFonts w:ascii="仿宋" w:cs="仿宋" w:eastAsia="仿宋" w:hAnsi="仿宋" w:hint="eastAsia"/>
                <w:b/>
                <w:bCs/>
                <w:color w:val="auto"/>
                <w:sz w:val="24"/>
                <w:szCs w:val="24"/>
                <w:highlight w:val="none"/>
              </w:rPr>
            </w:pPr>
            <w:r>
              <w:rPr>
                <w:rFonts w:ascii="仿宋" w:cs="仿宋" w:eastAsia="仿宋" w:hAnsi="仿宋" w:hint="eastAsia"/>
                <w:b/>
                <w:bCs/>
                <w:color w:val="auto"/>
                <w:sz w:val="24"/>
                <w:szCs w:val="24"/>
                <w:highlight w:val="none"/>
              </w:rPr>
              <w:t>单位</w:t>
            </w:r>
          </w:p>
        </w:tc>
        <w:tc>
          <w:tcPr>
            <w:tcW w:w="231" w:type="pct"/>
            <w:tcBorders>
              <w:top w:val="single" w:sz="4" w:space="0" w:color="auto"/>
              <w:left w:val="single" w:sz="4" w:space="0" w:color="auto"/>
              <w:bottom w:val="single" w:sz="4" w:space="0" w:color="auto"/>
              <w:right w:val="single" w:sz="4" w:space="0" w:color="auto"/>
            </w:tcBorders>
            <w:tcMar/>
            <w:vAlign w:val="center"/>
          </w:tcPr>
          <w:p w14:paraId="09276F37">
            <w:pPr>
              <w:pStyle w:val="style0"/>
              <w:jc w:val="center"/>
              <w:rPr>
                <w:rFonts w:ascii="仿宋" w:cs="仿宋" w:eastAsia="仿宋" w:hAnsi="仿宋" w:hint="eastAsia"/>
                <w:b/>
                <w:bCs/>
                <w:color w:val="auto"/>
                <w:sz w:val="24"/>
                <w:szCs w:val="24"/>
                <w:highlight w:val="none"/>
              </w:rPr>
            </w:pPr>
            <w:r>
              <w:rPr>
                <w:rFonts w:ascii="仿宋" w:cs="仿宋" w:eastAsia="仿宋" w:hAnsi="仿宋" w:hint="eastAsia"/>
                <w:b/>
                <w:bCs/>
                <w:color w:val="auto"/>
                <w:sz w:val="24"/>
                <w:szCs w:val="24"/>
                <w:highlight w:val="none"/>
              </w:rPr>
              <w:t>数量</w:t>
            </w:r>
          </w:p>
        </w:tc>
        <w:tc>
          <w:tcPr>
            <w:tcW w:w="3593" w:type="pct"/>
            <w:tcBorders>
              <w:top w:val="single" w:sz="4" w:space="0" w:color="auto"/>
              <w:left w:val="single" w:sz="4" w:space="0" w:color="auto"/>
              <w:bottom w:val="single" w:sz="4" w:space="0" w:color="auto"/>
              <w:right w:val="single" w:sz="4" w:space="0" w:color="auto"/>
            </w:tcBorders>
            <w:tcMar/>
            <w:vAlign w:val="center"/>
          </w:tcPr>
          <w:p w14:paraId="328D4BCF">
            <w:pPr>
              <w:pStyle w:val="style0"/>
              <w:jc w:val="center"/>
              <w:rPr>
                <w:rFonts w:ascii="仿宋" w:cs="仿宋" w:eastAsia="仿宋" w:hAnsi="仿宋" w:hint="eastAsia"/>
                <w:b/>
                <w:bCs/>
                <w:color w:val="auto"/>
                <w:sz w:val="24"/>
                <w:highlight w:val="none"/>
              </w:rPr>
            </w:pPr>
            <w:r>
              <w:rPr>
                <w:rFonts w:ascii="仿宋" w:cs="仿宋" w:eastAsia="仿宋" w:hAnsi="仿宋" w:hint="eastAsia"/>
                <w:b/>
                <w:bCs/>
                <w:color w:val="auto"/>
                <w:sz w:val="24"/>
                <w:szCs w:val="24"/>
                <w:highlight w:val="none"/>
              </w:rPr>
              <w:t>货物参数</w:t>
            </w:r>
          </w:p>
        </w:tc>
      </w:tr>
      <w:tr w14:paraId="31BEEE58">
        <w:tblPrEx/>
        <w:trPr>
          <w:trHeight w:val="407" w:hRule="atLeast"/>
          <w:jc w:val="center"/>
        </w:trPr>
        <w:tc>
          <w:tcPr>
            <w:tcW w:w="231" w:type="pct"/>
            <w:vMerge w:val="continue"/>
            <w:tcBorders>
              <w:left w:val="single" w:sz="4" w:space="0" w:color="auto"/>
              <w:right w:val="single" w:sz="4" w:space="0" w:color="auto"/>
            </w:tcBorders>
            <w:vAlign w:val="center"/>
          </w:tcPr>
          <w:p w14:paraId="31AA818F">
            <w:pPr>
              <w:pStyle w:val="style0"/>
              <w:spacing w:lineRule="exact" w:line="240"/>
              <w:jc w:val="center"/>
              <w:rPr>
                <w:rFonts w:ascii="仿宋" w:cs="仿宋" w:eastAsia="仿宋" w:hAnsi="仿宋" w:hint="eastAsia"/>
                <w:b/>
                <w:bCs/>
                <w:color w:val="auto"/>
                <w:sz w:val="24"/>
                <w:szCs w:val="24"/>
                <w:highlight w:val="none"/>
              </w:rPr>
            </w:pPr>
          </w:p>
        </w:tc>
        <w:tc>
          <w:tcPr>
            <w:tcW w:w="208" w:type="pct"/>
            <w:tcBorders>
              <w:top w:val="single" w:sz="4" w:space="0" w:color="auto"/>
              <w:left w:val="single" w:sz="4" w:space="0" w:color="auto"/>
              <w:bottom w:val="single" w:sz="4" w:space="0" w:color="auto"/>
              <w:right w:val="single" w:sz="4" w:space="0" w:color="auto"/>
            </w:tcBorders>
            <w:vAlign w:val="center"/>
          </w:tcPr>
          <w:p w14:paraId="5DC9943A">
            <w:pPr>
              <w:pStyle w:val="style0"/>
              <w:spacing w:lineRule="exact" w:line="240"/>
              <w:jc w:val="center"/>
              <w:rPr>
                <w:rFonts w:ascii="仿宋" w:cs="仿宋" w:eastAsia="仿宋" w:hAnsi="仿宋" w:hint="eastAsia"/>
                <w:color w:val="auto"/>
                <w:sz w:val="24"/>
                <w:szCs w:val="24"/>
                <w:highlight w:val="none"/>
              </w:rPr>
            </w:pPr>
            <w:r>
              <w:rPr>
                <w:rFonts w:ascii="仿宋" w:cs="仿宋" w:eastAsia="仿宋" w:hAnsi="仿宋" w:hint="eastAsia"/>
                <w:color w:val="auto"/>
                <w:sz w:val="24"/>
                <w:szCs w:val="24"/>
                <w:highlight w:val="none"/>
              </w:rPr>
              <w:t>1</w:t>
            </w:r>
          </w:p>
        </w:tc>
        <w:tc>
          <w:tcPr>
            <w:tcW w:w="475" w:type="pct"/>
            <w:tcBorders>
              <w:top w:val="single" w:sz="4" w:space="0" w:color="auto"/>
              <w:left w:val="single" w:sz="4" w:space="0" w:color="auto"/>
              <w:bottom w:val="single" w:sz="4" w:space="0" w:color="auto"/>
              <w:right w:val="single" w:sz="4" w:space="0" w:color="auto"/>
            </w:tcBorders>
            <w:vAlign w:val="center"/>
          </w:tcPr>
          <w:p w14:paraId="4D8E0330">
            <w:pPr>
              <w:pStyle w:val="style4097"/>
              <w:keepNext w:val="false"/>
              <w:keepLines w:val="false"/>
              <w:pageBreakBefore w:val="false"/>
              <w:widowControl w:val="false"/>
              <w:kinsoku/>
              <w:wordWrap/>
              <w:overflowPunct/>
              <w:topLinePunct w:val="false"/>
              <w:autoSpaceDE/>
              <w:autoSpaceDN/>
              <w:bidi w:val="false"/>
              <w:adjustRightInd/>
              <w:snapToGrid/>
              <w:spacing w:before="0" w:after="0" w:lineRule="exact" w:line="400"/>
              <w:ind w:firstLine="0" w:firstLineChars="0"/>
              <w:jc w:val="center"/>
              <w:textAlignment w:val="auto"/>
              <w:rPr>
                <w:rFonts w:ascii="仿宋" w:cs="仿宋" w:eastAsia="仿宋" w:hAnsi="仿宋" w:hint="eastAsia"/>
                <w:color w:val="auto"/>
                <w:sz w:val="24"/>
                <w:szCs w:val="24"/>
                <w:highlight w:val="none"/>
              </w:rPr>
            </w:pPr>
            <w:r>
              <w:rPr>
                <w:rFonts w:ascii="仿宋" w:cs="仿宋" w:eastAsia="仿宋" w:hAnsi="仿宋" w:hint="eastAsia"/>
                <w:color w:val="auto"/>
                <w:sz w:val="24"/>
                <w:szCs w:val="24"/>
                <w:highlight w:val="none"/>
              </w:rPr>
              <w:t>德保县人民医院电子云胶片</w:t>
            </w:r>
          </w:p>
        </w:tc>
        <w:tc>
          <w:tcPr>
            <w:tcW w:w="258" w:type="pct"/>
            <w:tcBorders>
              <w:top w:val="single" w:sz="4" w:space="0" w:color="auto"/>
              <w:left w:val="single" w:sz="4" w:space="0" w:color="auto"/>
              <w:bottom w:val="single" w:sz="4" w:space="0" w:color="auto"/>
              <w:right w:val="single" w:sz="4" w:space="0" w:color="auto"/>
            </w:tcBorders>
            <w:vAlign w:val="center"/>
          </w:tcPr>
          <w:p w14:paraId="0ABE09AA">
            <w:pPr>
              <w:pStyle w:val="style0"/>
              <w:keepNext w:val="false"/>
              <w:keepLines w:val="false"/>
              <w:pageBreakBefore w:val="false"/>
              <w:widowControl w:val="false"/>
              <w:kinsoku/>
              <w:wordWrap/>
              <w:overflowPunct/>
              <w:topLinePunct w:val="false"/>
              <w:autoSpaceDE/>
              <w:autoSpaceDN/>
              <w:bidi w:val="false"/>
              <w:adjustRightInd/>
              <w:snapToGrid/>
              <w:spacing w:lineRule="exact" w:line="400"/>
              <w:jc w:val="center"/>
              <w:textAlignment w:val="auto"/>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2"/>
                <w:szCs w:val="22"/>
                <w:highlight w:val="none"/>
                <w:lang w:val="en-US" w:eastAsia="zh-CN"/>
              </w:rPr>
              <w:t>项</w:t>
            </w:r>
          </w:p>
        </w:tc>
        <w:tc>
          <w:tcPr>
            <w:tcW w:w="231" w:type="pct"/>
            <w:tcBorders>
              <w:top w:val="single" w:sz="4" w:space="0" w:color="auto"/>
              <w:left w:val="single" w:sz="4" w:space="0" w:color="auto"/>
              <w:bottom w:val="single" w:sz="4" w:space="0" w:color="auto"/>
              <w:right w:val="single" w:sz="4" w:space="0" w:color="auto"/>
            </w:tcBorders>
            <w:vAlign w:val="center"/>
          </w:tcPr>
          <w:p w14:paraId="367145DA">
            <w:pPr>
              <w:pStyle w:val="style0"/>
              <w:spacing w:lineRule="exact" w:line="260"/>
              <w:jc w:val="center"/>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2"/>
                <w:szCs w:val="22"/>
                <w:highlight w:val="none"/>
                <w:lang w:val="en-US" w:eastAsia="zh-CN"/>
              </w:rPr>
              <w:t>1</w:t>
            </w:r>
          </w:p>
        </w:tc>
        <w:tc>
          <w:tcPr>
            <w:tcW w:w="3593" w:type="pct"/>
            <w:tcBorders>
              <w:top w:val="single" w:sz="4" w:space="0" w:color="auto"/>
              <w:left w:val="single" w:sz="4" w:space="0" w:color="auto"/>
              <w:bottom w:val="single" w:sz="4" w:space="0" w:color="auto"/>
              <w:right w:val="single" w:sz="4" w:space="0" w:color="auto"/>
            </w:tcBorders>
            <w:vAlign w:val="center"/>
          </w:tcPr>
          <w:p w14:paraId="1341F6F8">
            <w:pPr>
              <w:pStyle w:val="style0"/>
              <w:spacing w:lineRule="exact" w:line="440"/>
              <w:rPr>
                <w:rFonts w:ascii="仿宋" w:cs="仿宋" w:eastAsia="仿宋" w:hAnsi="仿宋" w:hint="eastAsia"/>
                <w:b/>
                <w:bCs/>
                <w:color w:val="auto"/>
                <w:sz w:val="24"/>
                <w:szCs w:val="24"/>
                <w:highlight w:val="none"/>
                <w:lang w:val="en-US" w:eastAsia="zh-CN"/>
              </w:rPr>
            </w:pPr>
            <w:r>
              <w:rPr>
                <w:rFonts w:ascii="仿宋" w:cs="仿宋" w:eastAsia="仿宋" w:hAnsi="仿宋" w:hint="eastAsia"/>
                <w:b/>
                <w:bCs/>
                <w:color w:val="auto"/>
                <w:sz w:val="24"/>
                <w:szCs w:val="24"/>
                <w:highlight w:val="none"/>
                <w:lang w:val="en-US" w:eastAsia="zh-CN"/>
              </w:rPr>
              <w:t>一、基础要求：</w:t>
            </w:r>
          </w:p>
          <w:p w14:paraId="0664C4C5">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1.竞标产品应全面支持DICOM3.0标准。</w:t>
            </w:r>
          </w:p>
          <w:p w14:paraId="613649C7">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2.竞标产品应全面遵从HL7医疗服务信息网络通讯协议。</w:t>
            </w:r>
          </w:p>
          <w:p w14:paraId="124F24F1">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3.系统服务端软件可安装于主流（含国产）操作系统。</w:t>
            </w:r>
          </w:p>
          <w:p w14:paraId="5C88E945">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4.系统支持主流（含国产）大型关系型数据库。</w:t>
            </w:r>
          </w:p>
          <w:p w14:paraId="35D9D309">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5.系统对外服务采用B/S架构，可进行PC端、手机端、PAD端的页面浏览调阅。</w:t>
            </w:r>
          </w:p>
          <w:p w14:paraId="72A8431F">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6.支持区域内各医疗机构在取得合规授权前提下，对影像检查报告、DICOM图像的调阅共享。</w:t>
            </w:r>
          </w:p>
          <w:p w14:paraId="3E88BD74">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7.实现与市全民健康信息平台、基层医疗卫生信息系统进行对接。</w:t>
            </w:r>
          </w:p>
          <w:p w14:paraId="1A8F0C96">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8.支持与统一身份认证平台的对接。</w:t>
            </w:r>
          </w:p>
          <w:p w14:paraId="7142B71F">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9.系统应实现7×24小时的连续运行。</w:t>
            </w:r>
          </w:p>
          <w:p w14:paraId="4CAF844A">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10.该平台建设须符合国家、行业有关政策要求。</w:t>
            </w:r>
          </w:p>
          <w:p w14:paraId="31A8E56B">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11.提供标准化数据接口。</w:t>
            </w:r>
          </w:p>
          <w:p w14:paraId="6FB5D669">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12.支持将PACS系统中非DICOM标准设备产生的数据转换为DICOM标准数据。</w:t>
            </w:r>
          </w:p>
          <w:p w14:paraId="0702D84E">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13.该平台须至少符合现行三级等保和信息安全管理体系标准（ISO27001）要求。</w:t>
            </w:r>
          </w:p>
          <w:p w14:paraId="23D69816">
            <w:pPr>
              <w:pStyle w:val="style0"/>
              <w:spacing w:lineRule="exact" w:line="440"/>
              <w:ind w:firstLine="480" w:firstLineChars="200"/>
              <w:rPr>
                <w:rFonts w:ascii="仿宋" w:cs="仿宋" w:eastAsia="仿宋" w:hAnsi="仿宋" w:hint="default"/>
                <w:color w:val="auto"/>
                <w:sz w:val="24"/>
                <w:szCs w:val="24"/>
                <w:highlight w:val="none"/>
                <w:lang w:val="en-US" w:eastAsia="zh-CN"/>
              </w:rPr>
            </w:pPr>
            <w:r>
              <w:rPr>
                <w:rFonts w:ascii="仿宋" w:cs="仿宋" w:eastAsia="仿宋" w:hAnsi="仿宋" w:hint="eastAsia"/>
                <w:color w:val="auto"/>
                <w:sz w:val="24"/>
                <w:szCs w:val="24"/>
                <w:highlight w:val="none"/>
                <w:lang w:val="en-US" w:eastAsia="zh-CN"/>
              </w:rPr>
              <w:t>14.对接区域影像中心后实现的平台功能。</w:t>
            </w:r>
          </w:p>
          <w:p w14:paraId="2A33B8D4">
            <w:pPr>
              <w:pStyle w:val="style0"/>
              <w:spacing w:lineRule="exact" w:line="440"/>
              <w:rPr>
                <w:rFonts w:ascii="仿宋" w:cs="仿宋" w:eastAsia="仿宋" w:hAnsi="仿宋" w:hint="eastAsia"/>
                <w:b/>
                <w:bCs/>
                <w:color w:val="auto"/>
                <w:sz w:val="24"/>
                <w:szCs w:val="24"/>
                <w:highlight w:val="none"/>
                <w:lang w:val="en-US" w:eastAsia="zh-CN"/>
              </w:rPr>
            </w:pPr>
            <w:r>
              <w:rPr>
                <w:rFonts w:ascii="仿宋" w:cs="仿宋" w:eastAsia="仿宋" w:hAnsi="仿宋" w:hint="eastAsia"/>
                <w:b/>
                <w:bCs/>
                <w:color w:val="auto"/>
                <w:sz w:val="24"/>
                <w:szCs w:val="24"/>
                <w:highlight w:val="none"/>
                <w:lang w:val="en-US" w:eastAsia="zh-CN"/>
              </w:rPr>
              <w:t>二、医学影像数据中心：</w:t>
            </w:r>
          </w:p>
          <w:p w14:paraId="4840709A">
            <w:pPr>
              <w:pStyle w:val="style0"/>
              <w:spacing w:lineRule="exact" w:line="440"/>
              <w:ind w:firstLine="482" w:firstLineChars="200"/>
              <w:rPr>
                <w:rFonts w:ascii="仿宋" w:cs="仿宋" w:eastAsia="仿宋" w:hAnsi="仿宋" w:hint="eastAsia"/>
                <w:b/>
                <w:bCs/>
                <w:color w:val="auto"/>
                <w:sz w:val="24"/>
                <w:szCs w:val="24"/>
                <w:highlight w:val="none"/>
                <w:lang w:val="en-US" w:eastAsia="zh-CN"/>
              </w:rPr>
            </w:pPr>
            <w:r>
              <w:rPr>
                <w:rFonts w:ascii="仿宋" w:cs="仿宋" w:eastAsia="仿宋" w:hAnsi="仿宋" w:hint="eastAsia"/>
                <w:b/>
                <w:bCs/>
                <w:color w:val="auto"/>
                <w:sz w:val="24"/>
                <w:szCs w:val="24"/>
                <w:highlight w:val="none"/>
                <w:lang w:val="en-US" w:eastAsia="zh-CN"/>
              </w:rPr>
              <w:t>1.医学影像信息集成系统</w:t>
            </w:r>
          </w:p>
          <w:p w14:paraId="5418FC01">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1.1支持检查及患者信息加密传输。</w:t>
            </w:r>
          </w:p>
          <w:p w14:paraId="7BFAB0F8">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1.2支持各种医疗信息标准：HL7、DICOM3.0、ICD、SNOMED、LOINC、ICPC、UMLS等。</w:t>
            </w:r>
          </w:p>
          <w:p w14:paraId="157E2893">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1.3支持各种通用的协议：TCP/IP、HTTP/HTTPS、Files、Database、SFTP、Email、JMS、Web Services、PDF/RTF Documents等。</w:t>
            </w:r>
          </w:p>
          <w:p w14:paraId="025782AF">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1.4支持与医院现有PACS、RIS、HIS、EMR、CDSS决策等系统对接，不同医院可配置不同的数据采集方式，包括PACS接口拉取式采集、数据库拉取式采集、DICOM协议直采、PACS系统推送式采集等。</w:t>
            </w:r>
          </w:p>
          <w:p w14:paraId="016751FA">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1.5支持基于安全可靠的存储转发机制和消息重试机制，保障医疗信息准确可靠的送达数据中心，对于采集失败的记录，可以自动重新采集。</w:t>
            </w:r>
          </w:p>
          <w:p w14:paraId="1678791D">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1.6支持数据的转换和处理，支持灵活的集成接口定制和扩展，支持集成业务的持续优化和动态调整。</w:t>
            </w:r>
          </w:p>
          <w:p w14:paraId="7C8946F9">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1.7支持所有DICOM3.0标准的影像检查包括放射科、超声科、核医学科、病理科、心电科、脑电科和内镜科等医技科室的设备接入。</w:t>
            </w:r>
          </w:p>
          <w:p w14:paraId="5CC717E8">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1.8系统支持大型关系型数据库。</w:t>
            </w:r>
          </w:p>
          <w:p w14:paraId="404F582E">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1.9系统的影像传输支持DICOM无损压缩和断点续传技术，满足低带宽下传输可靠性和及时性。</w:t>
            </w:r>
          </w:p>
          <w:p w14:paraId="48DD082A">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1.10系统提供必要的安全、日志和监控服务，提高整个系统的可靠性。</w:t>
            </w:r>
          </w:p>
          <w:p w14:paraId="180E7869">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1.11系统开放互调接口，方便不同医疗卫生机构的数据共享与访问，开放影像访问接口，满足医疗卫生机构内临床医生对院外云影像数据的免费访问。</w:t>
            </w:r>
          </w:p>
          <w:p w14:paraId="68B788EB">
            <w:pPr>
              <w:pStyle w:val="style0"/>
              <w:spacing w:lineRule="exact" w:line="440"/>
              <w:ind w:firstLine="480" w:firstLineChars="200"/>
              <w:rPr>
                <w:rFonts w:ascii="仿宋" w:cs="仿宋" w:eastAsia="仿宋" w:hAnsi="仿宋" w:hint="default"/>
                <w:color w:val="auto"/>
                <w:sz w:val="24"/>
                <w:szCs w:val="24"/>
                <w:highlight w:val="none"/>
                <w:lang w:val="en-US" w:eastAsia="zh-CN"/>
              </w:rPr>
            </w:pPr>
            <w:r>
              <w:rPr>
                <w:rFonts w:ascii="仿宋" w:cs="仿宋" w:eastAsia="仿宋" w:hAnsi="仿宋" w:hint="eastAsia"/>
                <w:color w:val="auto"/>
                <w:sz w:val="24"/>
                <w:szCs w:val="24"/>
                <w:highlight w:val="none"/>
                <w:lang w:val="en-US" w:eastAsia="zh-CN"/>
              </w:rPr>
              <w:t>1.12对接区域影像中心后实现的放射这块平台功能，其他内容需相应的供应商跟区域影像中心对接可实现平台功能。</w:t>
            </w:r>
          </w:p>
          <w:p w14:paraId="4FA8DF41">
            <w:pPr>
              <w:pStyle w:val="style0"/>
              <w:spacing w:lineRule="exact" w:line="440"/>
              <w:ind w:firstLine="482" w:firstLineChars="200"/>
              <w:rPr>
                <w:rFonts w:ascii="仿宋" w:cs="仿宋" w:eastAsia="仿宋" w:hAnsi="仿宋" w:hint="eastAsia"/>
                <w:b/>
                <w:bCs/>
                <w:color w:val="auto"/>
                <w:sz w:val="24"/>
                <w:szCs w:val="24"/>
                <w:highlight w:val="none"/>
                <w:lang w:val="en-US" w:eastAsia="zh-CN"/>
              </w:rPr>
            </w:pPr>
            <w:r>
              <w:rPr>
                <w:rFonts w:ascii="仿宋" w:cs="仿宋" w:eastAsia="仿宋" w:hAnsi="仿宋" w:hint="eastAsia"/>
                <w:b/>
                <w:bCs/>
                <w:color w:val="auto"/>
                <w:sz w:val="24"/>
                <w:szCs w:val="24"/>
                <w:highlight w:val="none"/>
                <w:lang w:val="en-US" w:eastAsia="zh-CN"/>
              </w:rPr>
              <w:t>2.影像云存储</w:t>
            </w:r>
          </w:p>
          <w:p w14:paraId="4AD2986A">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2.1支持影像数据存储、归档、管理。</w:t>
            </w:r>
          </w:p>
          <w:p w14:paraId="474E0320">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2.2支持无损压缩存储及解压。</w:t>
            </w:r>
          </w:p>
          <w:p w14:paraId="2A440EF6">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2.3支持影像数据自动归档存储。</w:t>
            </w:r>
          </w:p>
          <w:p w14:paraId="7B0C85A4">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2.4支持影像文件使用对象存储。</w:t>
            </w:r>
          </w:p>
          <w:p w14:paraId="7C8C34D4">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2.5支持检查影像数据的分布式分级存储架构，院内PACS存储作为近期存储、云存储作为长期海量存储。</w:t>
            </w:r>
          </w:p>
          <w:p w14:paraId="3388B6AC">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▲2.6支持数据存储的组织层级管理功能，支持患者、检查、设备等不同层级节点的按需组合配置。</w:t>
            </w:r>
          </w:p>
          <w:p w14:paraId="41CA4009">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2.7支持存储容量可以无限扩容，按需增加。</w:t>
            </w:r>
          </w:p>
          <w:p w14:paraId="72688E46">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2.8支持数据多点备份机制。</w:t>
            </w:r>
          </w:p>
          <w:p w14:paraId="3BB1356D">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2.9提供标准RESTful协议的API接口以及多语言的SDK。</w:t>
            </w:r>
          </w:p>
          <w:p w14:paraId="7EC76A25">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2.10对平台运行状况实时监控，对系统故障、报错等信息记录并保存，对用户访问数据库行为进行记录，便于后期追溯。</w:t>
            </w:r>
          </w:p>
          <w:p w14:paraId="701F1767">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2.11具备多层次安全防护和防DDoS攻击。</w:t>
            </w:r>
          </w:p>
          <w:p w14:paraId="7F6C2FB2">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2.12支持患者信息识别、数据回溯。</w:t>
            </w:r>
          </w:p>
          <w:p w14:paraId="3396A854">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2.13支持通过前置服务器部署影像解析服务，支持对院内影像文件的解析、压缩等功能，包括DICOM影像文件的解析、JPG-DICOM格式转换、DICOM影像生成JPG缩略图、DICOM影像压缩存储功能。</w:t>
            </w:r>
          </w:p>
          <w:p w14:paraId="0A31A7F3">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2.14支持大文件的分片并发上传和下载。</w:t>
            </w:r>
          </w:p>
          <w:p w14:paraId="234DC151">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2.15支持实时数据流量监控及业务进程展示。</w:t>
            </w:r>
          </w:p>
          <w:p w14:paraId="72BC2FA4">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2.16支持ODBC数据源设置。</w:t>
            </w:r>
          </w:p>
          <w:p w14:paraId="6E88DDB8">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2.17存储年限不低于国家、自治区相关规定。</w:t>
            </w:r>
          </w:p>
          <w:p w14:paraId="08923F5D">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2.18云存储平台必须为国有平台。</w:t>
            </w:r>
          </w:p>
          <w:p w14:paraId="6104D727">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2.19支持日志功能。</w:t>
            </w:r>
          </w:p>
          <w:p w14:paraId="6C0C1259">
            <w:pPr>
              <w:pStyle w:val="style0"/>
              <w:spacing w:lineRule="exact" w:line="440"/>
              <w:ind w:firstLine="480" w:firstLineChars="200"/>
              <w:rPr>
                <w:rFonts w:ascii="仿宋" w:cs="仿宋" w:eastAsia="仿宋" w:hAnsi="仿宋" w:hint="default"/>
                <w:color w:val="auto"/>
                <w:sz w:val="24"/>
                <w:szCs w:val="24"/>
                <w:highlight w:val="none"/>
                <w:lang w:val="en-US" w:eastAsia="zh-CN"/>
              </w:rPr>
            </w:pPr>
            <w:r>
              <w:rPr>
                <w:rFonts w:ascii="仿宋" w:cs="仿宋" w:eastAsia="仿宋" w:hAnsi="仿宋" w:hint="eastAsia"/>
                <w:color w:val="auto"/>
                <w:sz w:val="24"/>
                <w:szCs w:val="24"/>
                <w:highlight w:val="none"/>
                <w:lang w:val="en-US" w:eastAsia="zh-CN"/>
              </w:rPr>
              <w:t>2.20对接区域影像中心后实现的平台功能。</w:t>
            </w:r>
          </w:p>
          <w:p w14:paraId="657309C4">
            <w:pPr>
              <w:pStyle w:val="style28"/>
              <w:numPr>
                <w:ilvl w:val="0"/>
                <w:numId w:val="0"/>
              </w:numPr>
              <w:rPr>
                <w:rFonts w:ascii="仿宋" w:cs="仿宋" w:eastAsia="仿宋" w:hAnsi="仿宋" w:hint="eastAsia"/>
                <w:b/>
                <w:bCs/>
                <w:i w:val="false"/>
                <w:iCs w:val="false"/>
                <w:color w:val="auto"/>
                <w:kern w:val="0"/>
                <w:sz w:val="24"/>
                <w:szCs w:val="24"/>
                <w:highlight w:val="none"/>
                <w:u w:val="none"/>
                <w:lang w:val="en-US" w:eastAsia="zh-CN"/>
              </w:rPr>
            </w:pPr>
            <w:r>
              <w:rPr>
                <w:rFonts w:ascii="仿宋" w:cs="仿宋" w:eastAsia="仿宋" w:hAnsi="仿宋" w:hint="eastAsia"/>
                <w:b/>
                <w:bCs/>
                <w:i w:val="false"/>
                <w:iCs w:val="false"/>
                <w:color w:val="auto"/>
                <w:kern w:val="0"/>
                <w:sz w:val="24"/>
                <w:szCs w:val="24"/>
                <w:highlight w:val="none"/>
                <w:u w:val="none"/>
                <w:lang w:val="en-US" w:eastAsia="zh-CN"/>
              </w:rPr>
              <w:t>三、区域医学影像互联互通系统</w:t>
            </w:r>
          </w:p>
          <w:p w14:paraId="240095C1">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1.支持区域内各授权医疗机构之间数据互通共享。</w:t>
            </w:r>
          </w:p>
          <w:p w14:paraId="31F828F3">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2.支持各医疗机构通过HIS、APP、微信公众号等方式集成医学影像调阅系统。</w:t>
            </w:r>
          </w:p>
          <w:p w14:paraId="1BC47B30">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6.支持系统提供患者跨院检查的影像和报告等资料，供获得授权的医生调阅、下载。</w:t>
            </w:r>
          </w:p>
          <w:p w14:paraId="18AC56F3">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4.支持患者在指定的网站查询不同医疗机构的检查信息。</w:t>
            </w:r>
          </w:p>
          <w:p w14:paraId="3E090FE3">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5.支持通过不同终端、系统，如手机、PAD、电脑进行信息调阅。</w:t>
            </w:r>
          </w:p>
          <w:p w14:paraId="139A9133">
            <w:pPr>
              <w:pStyle w:val="style0"/>
              <w:spacing w:lineRule="exact" w:line="440"/>
              <w:ind w:firstLine="480" w:firstLineChars="200"/>
              <w:rPr>
                <w:rFonts w:ascii="仿宋" w:cs="仿宋" w:eastAsia="仿宋" w:hAnsi="仿宋" w:hint="default"/>
                <w:color w:val="auto"/>
                <w:sz w:val="24"/>
                <w:szCs w:val="24"/>
                <w:highlight w:val="none"/>
                <w:lang w:val="en-US" w:eastAsia="zh-CN"/>
              </w:rPr>
            </w:pPr>
            <w:r>
              <w:rPr>
                <w:rFonts w:ascii="仿宋" w:cs="仿宋" w:eastAsia="仿宋" w:hAnsi="仿宋" w:hint="eastAsia"/>
                <w:color w:val="auto"/>
                <w:sz w:val="24"/>
                <w:szCs w:val="24"/>
                <w:highlight w:val="none"/>
                <w:lang w:val="en-US" w:eastAsia="zh-CN"/>
              </w:rPr>
              <w:t>6.对接区域影像中心后实现的平台功能。</w:t>
            </w:r>
          </w:p>
          <w:p w14:paraId="262F8AB5">
            <w:pPr>
              <w:pStyle w:val="style28"/>
              <w:ind w:left="0" w:leftChars="0" w:firstLine="0" w:firstLineChars="0"/>
              <w:rPr>
                <w:rFonts w:ascii="仿宋" w:cs="仿宋" w:eastAsia="仿宋" w:hAnsi="仿宋" w:hint="eastAsia"/>
                <w:b/>
                <w:bCs/>
                <w:i w:val="false"/>
                <w:iCs w:val="false"/>
                <w:color w:val="auto"/>
                <w:kern w:val="0"/>
                <w:sz w:val="24"/>
                <w:szCs w:val="24"/>
                <w:highlight w:val="none"/>
                <w:u w:val="none"/>
                <w:lang w:val="en-US" w:eastAsia="zh-CN"/>
              </w:rPr>
            </w:pPr>
            <w:r>
              <w:rPr>
                <w:rFonts w:ascii="仿宋" w:cs="仿宋" w:eastAsia="仿宋" w:hAnsi="仿宋" w:hint="eastAsia"/>
                <w:b/>
                <w:bCs/>
                <w:i w:val="false"/>
                <w:iCs w:val="false"/>
                <w:color w:val="auto"/>
                <w:kern w:val="0"/>
                <w:sz w:val="24"/>
                <w:szCs w:val="24"/>
                <w:highlight w:val="none"/>
                <w:u w:val="none"/>
                <w:lang w:val="en-US" w:eastAsia="zh-CN"/>
              </w:rPr>
              <w:t>四、医学影像诊断中心</w:t>
            </w:r>
          </w:p>
          <w:p w14:paraId="3003D5E3">
            <w:pPr>
              <w:pStyle w:val="style28"/>
              <w:rPr>
                <w:rFonts w:ascii="仿宋" w:cs="仿宋" w:eastAsia="仿宋" w:hAnsi="仿宋" w:hint="eastAsia"/>
                <w:b/>
                <w:bCs/>
                <w:i w:val="false"/>
                <w:iCs w:val="false"/>
                <w:color w:val="auto"/>
                <w:kern w:val="0"/>
                <w:sz w:val="24"/>
                <w:szCs w:val="24"/>
                <w:highlight w:val="none"/>
                <w:u w:val="none"/>
                <w:lang w:val="en-US" w:eastAsia="zh-CN"/>
              </w:rPr>
            </w:pPr>
            <w:r>
              <w:rPr>
                <w:rFonts w:ascii="仿宋" w:cs="仿宋" w:eastAsia="仿宋" w:hAnsi="仿宋" w:hint="eastAsia"/>
                <w:b/>
                <w:bCs/>
                <w:i w:val="false"/>
                <w:iCs w:val="false"/>
                <w:color w:val="auto"/>
                <w:kern w:val="0"/>
                <w:sz w:val="24"/>
                <w:szCs w:val="24"/>
                <w:highlight w:val="none"/>
                <w:u w:val="none"/>
                <w:lang w:val="en-US" w:eastAsia="zh-CN"/>
              </w:rPr>
              <w:t>1.云PACS系统</w:t>
            </w:r>
          </w:p>
          <w:p w14:paraId="75210DE2">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1.1支持通过互联网或局域网书写诊断报告。</w:t>
            </w:r>
          </w:p>
          <w:p w14:paraId="7E283991">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1.2支持影像云平台的业务数据回写院内PACS。</w:t>
            </w:r>
          </w:p>
          <w:p w14:paraId="5D463035">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1.3支持同一病人多个检查结果汇总显示，写、审影像报告采用独占模式，保证报告版本唯一性。</w:t>
            </w:r>
          </w:p>
          <w:p w14:paraId="7B4035FF">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1.4支持报告状态颜色标记。</w:t>
            </w:r>
          </w:p>
          <w:p w14:paraId="1F259EBD">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1.5支持多级报告诊断模版，可由用户自定义修改和分类管理。</w:t>
            </w:r>
          </w:p>
          <w:p w14:paraId="7482AB66">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1.6支持公有模板和个人模板。</w:t>
            </w:r>
          </w:p>
          <w:p w14:paraId="439A998F">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1.7支持用户自定义的报告编辑和输入。</w:t>
            </w:r>
          </w:p>
          <w:p w14:paraId="3A26FDA0">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1.8支持诊断报告角色授权管理。</w:t>
            </w:r>
          </w:p>
          <w:p w14:paraId="7AF235CD">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1.9支持灵活的报告打印模板，格式和内容可以由医院自定义。</w:t>
            </w:r>
          </w:p>
          <w:p w14:paraId="4A114F77">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1.10支持报告的预览和打印，支持灵活选择报告打印机，支持默认打印模板记忆和选择。</w:t>
            </w:r>
          </w:p>
          <w:p w14:paraId="312EE395">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1.11支持通过岗位组选择，快速显示对应工作列表。</w:t>
            </w:r>
          </w:p>
          <w:p w14:paraId="48E8B6D3">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1.12数据传输、加载速度须满足医生远程在线书写报告的要求。</w:t>
            </w:r>
          </w:p>
          <w:p w14:paraId="1A5C0E21">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1.13支持原始影像数据及报告的归档功能，电脑端及移动端都须支持以手动翻页、自动播放方式浏览病人所有原始影像数据。</w:t>
            </w:r>
          </w:p>
          <w:p w14:paraId="1AEBAA01">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1.14支持患者影像文件预下载，实现快速影像浏览。</w:t>
            </w:r>
          </w:p>
          <w:p w14:paraId="4DDCB177">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1.15客户端工作站打开约100M字节影像，时间不大于5秒,WEB端工作站打开约100M字节影像，时间不大于10秒,IOS端工作站打开约100M字节影像，时间不大于10秒,安卓端工作站打开约100M字节影像，时间不大于10秒。标准运行环境下测试【提供医疗器械质量监督检验部门出具的检测文件复印件】。</w:t>
            </w:r>
          </w:p>
          <w:p w14:paraId="2FF1D457">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1.16支持测量工具：直线，面积，CT平均值，角度，箭头文字标注、椭圆范围测量、矩形范围测量等，支持显示实时坐标的密度值（HU）。</w:t>
            </w:r>
          </w:p>
          <w:p w14:paraId="262E8830">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1.17支持自定义窗宽窗位设定，支持胸部、腹部、腰椎、头颅、心脏等快捷键。</w:t>
            </w:r>
          </w:p>
          <w:p w14:paraId="22FBB164">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1.18支持设备类型、图像个数的显示。</w:t>
            </w:r>
          </w:p>
          <w:p w14:paraId="5996EF86">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1.19能够显示或隐藏标准DICOM图像相关信息。</w:t>
            </w:r>
          </w:p>
          <w:p w14:paraId="0A3CB131">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1.20支持平移、缩放、翻页、放大镜功能。</w:t>
            </w:r>
          </w:p>
          <w:p w14:paraId="50DE582C">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1.21在多窗口布局中支持对焦点图像的单独操作。</w:t>
            </w:r>
          </w:p>
          <w:p w14:paraId="0487FDE4">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1.22支持图像窗口快速初始化。</w:t>
            </w:r>
          </w:p>
          <w:p w14:paraId="2F51B5B9">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1.23支持对图像序列窗口进行反色/旋转/翻转操作。</w:t>
            </w:r>
          </w:p>
          <w:p w14:paraId="5EBEB3FF">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1.24支持常用图像操作快捷键自定义。</w:t>
            </w:r>
          </w:p>
          <w:p w14:paraId="035B2E13">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1.25支持电脑端和移动端利用影像工具进行心胸比测量。</w:t>
            </w:r>
          </w:p>
          <w:p w14:paraId="6AD3D8BE">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1.26支持移动端基于GPU硬件加速方式处理DICOM原生影像数据，实现窗宽窗位调整（断网情况下也可正常调整当前影像窗宽窗位），缩放影像，移动影像，长度测量，角度测量，椭圆面积测量，播放可动态调整播放帧率，预设窗宽窗位值，翻阅影像【提供医疗器械质量监督检验部门出具的检测文件复印件】。</w:t>
            </w:r>
          </w:p>
          <w:p w14:paraId="2851037D">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▲1.27支持DICOM GSPS（标准灰阶软拷贝显示状态）,保证图像的一致性显示,医生可以在写报告时保存影像状态（窗宽窗位、标注、位置等信息）为PR文件，其他医生浏览患者影像时可以查看已保存的影像状态。</w:t>
            </w:r>
          </w:p>
          <w:p w14:paraId="4E99D677">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▲1.28支持DICOM KO(关键影像)标记。</w:t>
            </w:r>
          </w:p>
          <w:p w14:paraId="5D1B4493">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▲1.29支持报告比对功能，当审核医生对报告进行修改时，可直观显示修改痕迹。</w:t>
            </w:r>
          </w:p>
          <w:p w14:paraId="67C4D933">
            <w:pPr>
              <w:pStyle w:val="style0"/>
              <w:spacing w:lineRule="exact" w:line="440"/>
              <w:ind w:firstLine="480" w:firstLineChars="200"/>
              <w:rPr>
                <w:rFonts w:ascii="仿宋" w:cs="仿宋" w:eastAsia="仿宋" w:hAnsi="仿宋" w:hint="default"/>
                <w:color w:val="auto"/>
                <w:sz w:val="24"/>
                <w:szCs w:val="24"/>
                <w:highlight w:val="none"/>
                <w:lang w:val="en-US" w:eastAsia="zh-CN"/>
              </w:rPr>
            </w:pPr>
            <w:r>
              <w:rPr>
                <w:rFonts w:ascii="仿宋" w:cs="仿宋" w:eastAsia="仿宋" w:hAnsi="仿宋" w:hint="eastAsia"/>
                <w:color w:val="auto"/>
                <w:sz w:val="24"/>
                <w:szCs w:val="24"/>
                <w:highlight w:val="none"/>
                <w:lang w:val="en-US" w:eastAsia="zh-CN"/>
              </w:rPr>
              <w:t>▲1.30支持住培医生练习书写医院报告。</w:t>
            </w:r>
          </w:p>
          <w:p w14:paraId="5C96F484">
            <w:pPr>
              <w:pStyle w:val="style28"/>
              <w:rPr>
                <w:rFonts w:ascii="仿宋" w:cs="仿宋" w:eastAsia="仿宋" w:hAnsi="仿宋" w:hint="eastAsia"/>
                <w:b/>
                <w:bCs/>
                <w:i w:val="false"/>
                <w:iCs w:val="false"/>
                <w:color w:val="auto"/>
                <w:kern w:val="0"/>
                <w:sz w:val="24"/>
                <w:szCs w:val="24"/>
                <w:highlight w:val="none"/>
                <w:u w:val="none"/>
                <w:lang w:val="en-US" w:eastAsia="zh-CN"/>
              </w:rPr>
            </w:pPr>
            <w:r>
              <w:rPr>
                <w:rFonts w:ascii="仿宋" w:cs="仿宋" w:eastAsia="仿宋" w:hAnsi="仿宋" w:hint="eastAsia"/>
                <w:b/>
                <w:bCs/>
                <w:i w:val="false"/>
                <w:iCs w:val="false"/>
                <w:color w:val="auto"/>
                <w:kern w:val="0"/>
                <w:sz w:val="24"/>
                <w:szCs w:val="24"/>
                <w:highlight w:val="none"/>
                <w:u w:val="none"/>
                <w:lang w:val="en-US" w:eastAsia="zh-CN"/>
              </w:rPr>
              <w:t>2.影像远程诊断系统</w:t>
            </w:r>
          </w:p>
          <w:p w14:paraId="1DD94248">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2.1支持跨医疗机构诊断申请、接收、回传功能。</w:t>
            </w:r>
          </w:p>
          <w:p w14:paraId="456CBCD6">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2.2支持跨院云影像平台服务,支持授权验证和影像共享调阅。</w:t>
            </w:r>
          </w:p>
          <w:p w14:paraId="074DCFD3">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2.3支持手动上传患者信息、影像文件到申请工作站。</w:t>
            </w:r>
          </w:p>
          <w:p w14:paraId="5054D408">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2.4支持区域影像中心的集中阅片，帮助基层医院书写诊断报告。</w:t>
            </w:r>
          </w:p>
          <w:p w14:paraId="157FF9D1">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2.5支持报告书写同时打开阅片工具，支持分屏展示功能。</w:t>
            </w:r>
          </w:p>
          <w:p w14:paraId="687C5369">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2.6支持选择医院发起诊断申请。</w:t>
            </w:r>
          </w:p>
          <w:p w14:paraId="389903B5">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2.7支持远程诊断报告查阅功能。</w:t>
            </w:r>
          </w:p>
          <w:p w14:paraId="466F95D8">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2.8支持通过检查号、患者姓名、起止时间、检查类型、病历号等进行筛选。</w:t>
            </w:r>
          </w:p>
          <w:p w14:paraId="44C2218B">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2.9支持展示患者相关信息以及不同诊断状态的病例的快捷筛选。</w:t>
            </w:r>
          </w:p>
          <w:p w14:paraId="6D03167B">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2.10支持通过不同终端、系统，如手机、PAD、电脑进行诊断。</w:t>
            </w:r>
          </w:p>
          <w:p w14:paraId="5900DD2E">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2.11支持补登记功能。</w:t>
            </w:r>
          </w:p>
          <w:p w14:paraId="4E6E04F2">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2.12支持放射科、超声科、核医学科、病理科、心电科、脑电科和内镜科等医技科室共享检索、调阅功能。</w:t>
            </w:r>
          </w:p>
          <w:p w14:paraId="18F1844D">
            <w:pPr>
              <w:pStyle w:val="style0"/>
              <w:spacing w:lineRule="exact" w:line="440"/>
              <w:ind w:firstLine="480" w:firstLineChars="200"/>
              <w:rPr>
                <w:rFonts w:ascii="仿宋" w:cs="仿宋" w:eastAsia="仿宋" w:hAnsi="仿宋" w:hint="default"/>
                <w:color w:val="auto"/>
                <w:sz w:val="24"/>
                <w:szCs w:val="24"/>
                <w:highlight w:val="none"/>
                <w:lang w:val="en-US" w:eastAsia="zh-CN"/>
              </w:rPr>
            </w:pPr>
            <w:r>
              <w:rPr>
                <w:rFonts w:ascii="仿宋" w:cs="仿宋" w:eastAsia="仿宋" w:hAnsi="仿宋" w:hint="eastAsia"/>
                <w:color w:val="auto"/>
                <w:sz w:val="24"/>
                <w:szCs w:val="24"/>
                <w:highlight w:val="none"/>
                <w:lang w:val="en-US" w:eastAsia="zh-CN"/>
              </w:rPr>
              <w:t>2.13对接区域影像中心后实现的放射这块平台功能，其他内容需相应的供应商跟区域影像中心对接可实现平台功能。</w:t>
            </w:r>
          </w:p>
          <w:p w14:paraId="1CF49780">
            <w:pPr>
              <w:pStyle w:val="style28"/>
              <w:rPr>
                <w:rFonts w:ascii="仿宋" w:cs="仿宋" w:eastAsia="仿宋" w:hAnsi="仿宋" w:hint="eastAsia"/>
                <w:b/>
                <w:bCs/>
                <w:i w:val="false"/>
                <w:iCs w:val="false"/>
                <w:color w:val="auto"/>
                <w:kern w:val="0"/>
                <w:sz w:val="24"/>
                <w:szCs w:val="24"/>
                <w:highlight w:val="none"/>
                <w:u w:val="none"/>
                <w:lang w:val="en-US" w:eastAsia="zh-CN"/>
              </w:rPr>
            </w:pPr>
            <w:r>
              <w:rPr>
                <w:rFonts w:ascii="仿宋" w:cs="仿宋" w:eastAsia="仿宋" w:hAnsi="仿宋" w:hint="eastAsia"/>
                <w:b/>
                <w:bCs/>
                <w:i w:val="false"/>
                <w:iCs w:val="false"/>
                <w:color w:val="auto"/>
                <w:kern w:val="0"/>
                <w:sz w:val="24"/>
                <w:szCs w:val="24"/>
                <w:highlight w:val="none"/>
                <w:u w:val="none"/>
                <w:lang w:val="en-US" w:eastAsia="zh-CN"/>
              </w:rPr>
              <w:t>3.医学影像远程会诊云平台系统</w:t>
            </w:r>
          </w:p>
          <w:p w14:paraId="3EE99DF8">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3.1支持申请医院发起音视频疑难会诊。</w:t>
            </w:r>
          </w:p>
          <w:p w14:paraId="4E53E512">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3.2支持在会诊未结束前，专家们可以重复进入会诊。</w:t>
            </w:r>
          </w:p>
          <w:p w14:paraId="18053BC0">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3.3支持放射、超声、内镜、病理、心电等科室的会诊。</w:t>
            </w:r>
          </w:p>
          <w:p w14:paraId="4B25380C">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3.4支持会诊病例资料录入，如患者基本信息、临床病史、检查信息、会诊目的等。</w:t>
            </w:r>
          </w:p>
          <w:p w14:paraId="285691B0">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3.5支持医生导入、保存诊断模板。</w:t>
            </w:r>
          </w:p>
          <w:p w14:paraId="1EDAB220">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3.6支持会诊病例统计分析功能。</w:t>
            </w:r>
          </w:p>
          <w:p w14:paraId="7F0C7B7C">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3.7支持对会诊列表的查询筛选。</w:t>
            </w:r>
          </w:p>
          <w:p w14:paraId="04EAC7A4">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3.8支持申请方发起视频会议、查看患者文件报告、查看患者历史检查等。</w:t>
            </w:r>
          </w:p>
          <w:p w14:paraId="6699BB39">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3.9支持查看患者影像。</w:t>
            </w:r>
          </w:p>
          <w:p w14:paraId="03DBD652">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3.10支持查看报告。</w:t>
            </w:r>
          </w:p>
          <w:p w14:paraId="702B72FE">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3.11支持查看会诊意见。</w:t>
            </w:r>
          </w:p>
          <w:p w14:paraId="06239D09">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3.12支持受邀专家查看受邀列表。</w:t>
            </w:r>
          </w:p>
          <w:p w14:paraId="4246544F">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3.13支持受邀专家加入受邀会诊。</w:t>
            </w:r>
          </w:p>
          <w:p w14:paraId="16EB5FB2">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3.14支持调取该患者所有的历史检查。</w:t>
            </w:r>
          </w:p>
          <w:p w14:paraId="5F848C0D">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3.15支持受邀专家填写、保存、签发会诊意见。</w:t>
            </w:r>
          </w:p>
          <w:p w14:paraId="7BC28148">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3.16支持放射科、超声科、核医学科、病理科、心电科、脑电科和内镜科等医技科室共享检索、调阅功能。</w:t>
            </w:r>
          </w:p>
          <w:p w14:paraId="67CEDD6D">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▲3.17支持邀请患者参与视频会诊。</w:t>
            </w:r>
          </w:p>
          <w:p w14:paraId="6A784A80">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▲3.18支持患者移动端参与远程会诊功能。</w:t>
            </w:r>
          </w:p>
          <w:p w14:paraId="02A75CB1">
            <w:pPr>
              <w:pStyle w:val="style0"/>
              <w:spacing w:lineRule="exact" w:line="440"/>
              <w:ind w:firstLine="480" w:firstLineChars="200"/>
              <w:rPr>
                <w:rFonts w:ascii="仿宋" w:cs="仿宋" w:eastAsia="仿宋" w:hAnsi="仿宋" w:hint="default"/>
                <w:color w:val="auto"/>
                <w:sz w:val="24"/>
                <w:szCs w:val="24"/>
                <w:highlight w:val="none"/>
                <w:lang w:val="en-US" w:eastAsia="zh-CN"/>
              </w:rPr>
            </w:pPr>
            <w:r>
              <w:rPr>
                <w:rFonts w:ascii="仿宋" w:cs="仿宋" w:eastAsia="仿宋" w:hAnsi="仿宋" w:hint="eastAsia"/>
                <w:color w:val="auto"/>
                <w:sz w:val="24"/>
                <w:szCs w:val="24"/>
                <w:highlight w:val="none"/>
                <w:lang w:val="en-US" w:eastAsia="zh-CN"/>
              </w:rPr>
              <w:t>3.19对接区域影像中心后实现的放射这块平台功能，其他内容需相应的供应商跟区域影像中心对接可实现平台功能。</w:t>
            </w:r>
          </w:p>
          <w:p w14:paraId="11798689">
            <w:pPr>
              <w:pStyle w:val="style28"/>
              <w:rPr>
                <w:rFonts w:ascii="仿宋" w:cs="仿宋" w:eastAsia="仿宋" w:hAnsi="仿宋" w:hint="eastAsia"/>
                <w:b/>
                <w:bCs/>
                <w:i w:val="false"/>
                <w:iCs w:val="false"/>
                <w:color w:val="auto"/>
                <w:sz w:val="24"/>
                <w:szCs w:val="24"/>
                <w:highlight w:val="none"/>
                <w:u w:val="none"/>
                <w:lang w:val="en-US" w:eastAsia="zh-CN"/>
              </w:rPr>
            </w:pPr>
            <w:r>
              <w:rPr>
                <w:rFonts w:ascii="仿宋" w:cs="仿宋" w:eastAsia="仿宋" w:hAnsi="仿宋" w:hint="eastAsia"/>
                <w:b/>
                <w:bCs/>
                <w:i w:val="false"/>
                <w:iCs w:val="false"/>
                <w:color w:val="auto"/>
                <w:sz w:val="24"/>
                <w:szCs w:val="24"/>
                <w:highlight w:val="none"/>
                <w:u w:val="none"/>
                <w:lang w:val="en-US" w:eastAsia="zh-CN"/>
              </w:rPr>
              <w:t>4.影像教学系统</w:t>
            </w:r>
          </w:p>
          <w:p w14:paraId="79B49054">
            <w:pPr>
              <w:pStyle w:val="style0"/>
              <w:spacing w:lineRule="exact" w:line="440"/>
              <w:ind w:firstLine="480" w:firstLineChars="200"/>
              <w:rPr>
                <w:rFonts w:ascii="仿宋" w:cs="仿宋" w:eastAsia="仿宋" w:hAnsi="仿宋" w:hint="default"/>
                <w:color w:val="auto"/>
                <w:sz w:val="24"/>
                <w:szCs w:val="24"/>
                <w:highlight w:val="none"/>
                <w:lang w:val="en-US" w:eastAsia="zh-CN"/>
              </w:rPr>
            </w:pPr>
            <w:r>
              <w:rPr>
                <w:rFonts w:ascii="仿宋" w:cs="仿宋" w:eastAsia="仿宋" w:hAnsi="仿宋" w:hint="eastAsia"/>
                <w:color w:val="auto"/>
                <w:sz w:val="24"/>
                <w:szCs w:val="24"/>
                <w:highlight w:val="none"/>
                <w:lang w:val="en-US" w:eastAsia="zh-CN"/>
              </w:rPr>
              <w:t>4.1</w:t>
            </w:r>
            <w:r>
              <w:rPr>
                <w:rFonts w:ascii="仿宋" w:cs="仿宋" w:eastAsia="仿宋" w:hAnsi="仿宋" w:hint="default"/>
                <w:color w:val="auto"/>
                <w:sz w:val="24"/>
                <w:szCs w:val="24"/>
                <w:highlight w:val="none"/>
                <w:lang w:val="en-US" w:eastAsia="zh-CN"/>
              </w:rPr>
              <w:t>支持音视频交互技术</w:t>
            </w:r>
            <w:r>
              <w:rPr>
                <w:rFonts w:ascii="仿宋" w:cs="仿宋" w:eastAsia="仿宋" w:hAnsi="仿宋" w:hint="eastAsia"/>
                <w:color w:val="auto"/>
                <w:sz w:val="24"/>
                <w:szCs w:val="24"/>
                <w:highlight w:val="none"/>
                <w:lang w:val="en-US" w:eastAsia="zh-CN"/>
              </w:rPr>
              <w:t>。</w:t>
            </w:r>
          </w:p>
          <w:p w14:paraId="59412805">
            <w:pPr>
              <w:pStyle w:val="style0"/>
              <w:spacing w:lineRule="exact" w:line="440"/>
              <w:ind w:firstLine="480" w:firstLineChars="200"/>
              <w:rPr>
                <w:rFonts w:ascii="仿宋" w:cs="仿宋" w:eastAsia="仿宋" w:hAnsi="仿宋" w:hint="default"/>
                <w:color w:val="auto"/>
                <w:sz w:val="24"/>
                <w:szCs w:val="24"/>
                <w:highlight w:val="none"/>
                <w:lang w:val="en-US" w:eastAsia="zh-CN"/>
              </w:rPr>
            </w:pPr>
            <w:r>
              <w:rPr>
                <w:rFonts w:ascii="仿宋" w:cs="仿宋" w:eastAsia="仿宋" w:hAnsi="仿宋" w:hint="eastAsia"/>
                <w:color w:val="auto"/>
                <w:sz w:val="24"/>
                <w:szCs w:val="24"/>
                <w:highlight w:val="none"/>
                <w:lang w:val="en-US" w:eastAsia="zh-CN"/>
              </w:rPr>
              <w:t>4.2</w:t>
            </w:r>
            <w:r>
              <w:rPr>
                <w:rFonts w:ascii="仿宋" w:cs="仿宋" w:eastAsia="仿宋" w:hAnsi="仿宋" w:hint="default"/>
                <w:color w:val="auto"/>
                <w:sz w:val="24"/>
                <w:szCs w:val="24"/>
                <w:highlight w:val="none"/>
                <w:lang w:val="en-US" w:eastAsia="zh-CN"/>
              </w:rPr>
              <w:t>支持专家库建立</w:t>
            </w:r>
            <w:r>
              <w:rPr>
                <w:rFonts w:ascii="仿宋" w:cs="仿宋" w:eastAsia="仿宋" w:hAnsi="仿宋" w:hint="eastAsia"/>
                <w:color w:val="auto"/>
                <w:sz w:val="24"/>
                <w:szCs w:val="24"/>
                <w:highlight w:val="none"/>
                <w:lang w:val="en-US" w:eastAsia="zh-CN"/>
              </w:rPr>
              <w:t>。</w:t>
            </w:r>
          </w:p>
          <w:p w14:paraId="10F9DC4D">
            <w:pPr>
              <w:pStyle w:val="style0"/>
              <w:spacing w:lineRule="exact" w:line="440"/>
              <w:ind w:firstLine="480" w:firstLineChars="200"/>
              <w:rPr>
                <w:rFonts w:ascii="仿宋" w:cs="仿宋" w:eastAsia="仿宋" w:hAnsi="仿宋" w:hint="default"/>
                <w:color w:val="auto"/>
                <w:sz w:val="24"/>
                <w:szCs w:val="24"/>
                <w:highlight w:val="none"/>
                <w:lang w:val="en-US" w:eastAsia="zh-CN"/>
              </w:rPr>
            </w:pPr>
            <w:r>
              <w:rPr>
                <w:rFonts w:ascii="仿宋" w:cs="仿宋" w:eastAsia="仿宋" w:hAnsi="仿宋" w:hint="eastAsia"/>
                <w:color w:val="auto"/>
                <w:sz w:val="24"/>
                <w:szCs w:val="24"/>
                <w:highlight w:val="none"/>
                <w:lang w:val="en-US" w:eastAsia="zh-CN"/>
              </w:rPr>
              <w:t>4.3</w:t>
            </w:r>
            <w:r>
              <w:rPr>
                <w:rFonts w:ascii="仿宋" w:cs="仿宋" w:eastAsia="仿宋" w:hAnsi="仿宋" w:hint="default"/>
                <w:color w:val="auto"/>
                <w:sz w:val="24"/>
                <w:szCs w:val="24"/>
                <w:highlight w:val="none"/>
                <w:lang w:val="en-US" w:eastAsia="zh-CN"/>
              </w:rPr>
              <w:t>支持教学课程管理</w:t>
            </w:r>
            <w:r>
              <w:rPr>
                <w:rFonts w:ascii="仿宋" w:cs="仿宋" w:eastAsia="仿宋" w:hAnsi="仿宋" w:hint="eastAsia"/>
                <w:color w:val="auto"/>
                <w:sz w:val="24"/>
                <w:szCs w:val="24"/>
                <w:highlight w:val="none"/>
                <w:lang w:val="en-US" w:eastAsia="zh-CN"/>
              </w:rPr>
              <w:t>。</w:t>
            </w:r>
          </w:p>
          <w:p w14:paraId="1B53EF67">
            <w:pPr>
              <w:pStyle w:val="style0"/>
              <w:spacing w:lineRule="exact" w:line="440"/>
              <w:ind w:firstLine="480" w:firstLineChars="200"/>
              <w:rPr>
                <w:rFonts w:ascii="仿宋" w:cs="仿宋" w:eastAsia="仿宋" w:hAnsi="仿宋" w:hint="default"/>
                <w:color w:val="auto"/>
                <w:sz w:val="24"/>
                <w:szCs w:val="24"/>
                <w:highlight w:val="none"/>
                <w:lang w:val="en-US" w:eastAsia="zh-CN"/>
              </w:rPr>
            </w:pPr>
            <w:r>
              <w:rPr>
                <w:rFonts w:ascii="仿宋" w:cs="仿宋" w:eastAsia="仿宋" w:hAnsi="仿宋" w:hint="eastAsia"/>
                <w:color w:val="auto"/>
                <w:sz w:val="24"/>
                <w:szCs w:val="24"/>
                <w:highlight w:val="none"/>
                <w:lang w:val="en-US" w:eastAsia="zh-CN"/>
              </w:rPr>
              <w:t>4.4</w:t>
            </w:r>
            <w:r>
              <w:rPr>
                <w:rFonts w:ascii="仿宋" w:cs="仿宋" w:eastAsia="仿宋" w:hAnsi="仿宋" w:hint="default"/>
                <w:color w:val="auto"/>
                <w:sz w:val="24"/>
                <w:szCs w:val="24"/>
                <w:highlight w:val="none"/>
                <w:lang w:val="en-US" w:eastAsia="zh-CN"/>
              </w:rPr>
              <w:t>支持将会诊病例转换为教学案例</w:t>
            </w:r>
            <w:r>
              <w:rPr>
                <w:rFonts w:ascii="仿宋" w:cs="仿宋" w:eastAsia="仿宋" w:hAnsi="仿宋" w:hint="eastAsia"/>
                <w:color w:val="auto"/>
                <w:sz w:val="24"/>
                <w:szCs w:val="24"/>
                <w:highlight w:val="none"/>
                <w:lang w:val="en-US" w:eastAsia="zh-CN"/>
              </w:rPr>
              <w:t>。</w:t>
            </w:r>
          </w:p>
          <w:p w14:paraId="7E2FA065">
            <w:pPr>
              <w:pStyle w:val="style0"/>
              <w:spacing w:lineRule="exact" w:line="440"/>
              <w:ind w:firstLine="480" w:firstLineChars="200"/>
              <w:rPr>
                <w:rFonts w:ascii="仿宋" w:cs="仿宋" w:eastAsia="仿宋" w:hAnsi="仿宋" w:hint="default"/>
                <w:color w:val="auto"/>
                <w:sz w:val="24"/>
                <w:szCs w:val="24"/>
                <w:highlight w:val="none"/>
                <w:lang w:val="en-US" w:eastAsia="zh-CN"/>
              </w:rPr>
            </w:pPr>
            <w:r>
              <w:rPr>
                <w:rFonts w:ascii="仿宋" w:cs="仿宋" w:eastAsia="仿宋" w:hAnsi="仿宋" w:hint="eastAsia"/>
                <w:color w:val="auto"/>
                <w:sz w:val="24"/>
                <w:szCs w:val="24"/>
                <w:highlight w:val="none"/>
                <w:lang w:val="en-US" w:eastAsia="zh-CN"/>
              </w:rPr>
              <w:t>4.5</w:t>
            </w:r>
            <w:r>
              <w:rPr>
                <w:rFonts w:ascii="仿宋" w:cs="仿宋" w:eastAsia="仿宋" w:hAnsi="仿宋" w:hint="default"/>
                <w:color w:val="auto"/>
                <w:sz w:val="24"/>
                <w:szCs w:val="24"/>
                <w:highlight w:val="none"/>
                <w:lang w:val="en-US" w:eastAsia="zh-CN"/>
              </w:rPr>
              <w:t>支持视频库教学及实时在线远程教学。</w:t>
            </w:r>
          </w:p>
          <w:p w14:paraId="5D5A5957">
            <w:pPr>
              <w:pStyle w:val="style0"/>
              <w:spacing w:lineRule="exact" w:line="440"/>
              <w:ind w:firstLine="480" w:firstLineChars="200"/>
              <w:rPr>
                <w:rFonts w:ascii="仿宋" w:cs="仿宋" w:eastAsia="仿宋" w:hAnsi="仿宋" w:hint="default"/>
                <w:color w:val="auto"/>
                <w:sz w:val="24"/>
                <w:szCs w:val="24"/>
                <w:highlight w:val="none"/>
                <w:lang w:val="en-US" w:eastAsia="zh-CN"/>
              </w:rPr>
            </w:pPr>
            <w:r>
              <w:rPr>
                <w:rFonts w:ascii="仿宋" w:cs="仿宋" w:eastAsia="仿宋" w:hAnsi="仿宋" w:hint="eastAsia"/>
                <w:color w:val="auto"/>
                <w:sz w:val="24"/>
                <w:szCs w:val="24"/>
                <w:highlight w:val="none"/>
                <w:lang w:val="en-US" w:eastAsia="zh-CN"/>
              </w:rPr>
              <w:t>4.6对接区域影像中心后实现的平台功能。</w:t>
            </w:r>
          </w:p>
          <w:p w14:paraId="68F35AFE">
            <w:pPr>
              <w:pStyle w:val="style28"/>
              <w:ind w:left="0" w:leftChars="0" w:firstLine="0" w:firstLineChars="0"/>
              <w:rPr>
                <w:rFonts w:ascii="仿宋" w:cs="仿宋" w:eastAsia="仿宋" w:hAnsi="仿宋" w:hint="eastAsia"/>
                <w:b/>
                <w:bCs/>
                <w:i w:val="false"/>
                <w:iCs w:val="false"/>
                <w:color w:val="auto"/>
                <w:kern w:val="0"/>
                <w:sz w:val="24"/>
                <w:szCs w:val="24"/>
                <w:highlight w:val="none"/>
                <w:u w:val="none"/>
                <w:lang w:val="en-US" w:eastAsia="zh-CN"/>
              </w:rPr>
            </w:pPr>
            <w:r>
              <w:rPr>
                <w:rFonts w:ascii="仿宋" w:cs="仿宋" w:eastAsia="仿宋" w:hAnsi="仿宋" w:hint="eastAsia"/>
                <w:b/>
                <w:bCs/>
                <w:i w:val="false"/>
                <w:iCs w:val="false"/>
                <w:color w:val="auto"/>
                <w:kern w:val="0"/>
                <w:sz w:val="24"/>
                <w:szCs w:val="24"/>
                <w:highlight w:val="none"/>
                <w:u w:val="none"/>
                <w:lang w:val="en-US" w:eastAsia="zh-CN"/>
              </w:rPr>
              <w:t>五、患者数字影像调阅中心</w:t>
            </w:r>
          </w:p>
          <w:p w14:paraId="1EE0DFFA">
            <w:pPr>
              <w:pStyle w:val="style28"/>
              <w:rPr>
                <w:rFonts w:ascii="仿宋" w:cs="仿宋" w:eastAsia="仿宋" w:hAnsi="仿宋" w:hint="eastAsia"/>
                <w:b/>
                <w:bCs/>
                <w:i w:val="false"/>
                <w:iCs w:val="false"/>
                <w:color w:val="auto"/>
                <w:kern w:val="0"/>
                <w:sz w:val="24"/>
                <w:szCs w:val="24"/>
                <w:highlight w:val="none"/>
                <w:u w:val="none"/>
                <w:lang w:val="en-US" w:eastAsia="zh-CN"/>
              </w:rPr>
            </w:pPr>
            <w:r>
              <w:rPr>
                <w:rFonts w:ascii="仿宋" w:cs="仿宋" w:eastAsia="仿宋" w:hAnsi="仿宋" w:hint="eastAsia"/>
                <w:b/>
                <w:bCs/>
                <w:i w:val="false"/>
                <w:iCs w:val="false"/>
                <w:color w:val="auto"/>
                <w:kern w:val="0"/>
                <w:sz w:val="24"/>
                <w:szCs w:val="24"/>
                <w:highlight w:val="none"/>
                <w:u w:val="none"/>
                <w:lang w:val="en-US" w:eastAsia="zh-CN"/>
              </w:rPr>
              <w:t>1.检查结果调阅</w:t>
            </w:r>
          </w:p>
          <w:p w14:paraId="138910C5">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1.1支持与院内报告打印系统集成。</w:t>
            </w:r>
          </w:p>
          <w:p w14:paraId="63B97695">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1.2支持待打印记录分组显示。</w:t>
            </w:r>
          </w:p>
          <w:p w14:paraId="159AFBCB">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1.3支持二维码域名自定义。</w:t>
            </w:r>
          </w:p>
          <w:p w14:paraId="16DB5862">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1.4支持报告打印参数设置。</w:t>
            </w:r>
          </w:p>
          <w:p w14:paraId="3DE6FC10">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1.5支持自助打印数字影像报告模板设置。</w:t>
            </w:r>
          </w:p>
          <w:p w14:paraId="68BB7D77">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1.6支持图文报告图片接收、识别、打印。</w:t>
            </w:r>
          </w:p>
          <w:p w14:paraId="554FDD29">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1.7支持患者短信提醒、报告完成等服务提醒。</w:t>
            </w:r>
          </w:p>
          <w:p w14:paraId="67197887">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1.8支持检查数据详情查看患者影像数据、院内报告和云胶片等。</w:t>
            </w:r>
          </w:p>
          <w:p w14:paraId="062ECE09">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1.9支持影像数据及报告一键分享。</w:t>
            </w:r>
          </w:p>
          <w:p w14:paraId="253F2115">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1.10支持隐私管理功能（提供患者调阅影像多种身份识别验证方式）。</w:t>
            </w:r>
          </w:p>
          <w:p w14:paraId="471E7104">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1.11支持短信提醒服务，以短信链接方式实现患者原始DICOM影像数据及报告的浏览（可配置软件外部短信网关支持）。</w:t>
            </w:r>
          </w:p>
          <w:p w14:paraId="0A785BC1">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1.12支持通过微信公众号等多种途径向患者提供影像云胶片服务。</w:t>
            </w:r>
          </w:p>
          <w:p w14:paraId="65D32A5E">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1.13支持DICOM文件下载功能，可以将授权调阅的影像数据以DICOM格式进行下载保存。</w:t>
            </w:r>
          </w:p>
          <w:p w14:paraId="33226339">
            <w:pPr>
              <w:pStyle w:val="style0"/>
              <w:spacing w:lineRule="exact" w:line="440"/>
              <w:ind w:firstLine="480" w:firstLineChars="200"/>
              <w:rPr>
                <w:rFonts w:ascii="仿宋" w:cs="仿宋" w:eastAsia="仿宋" w:hAnsi="仿宋" w:hint="default"/>
                <w:color w:val="auto"/>
                <w:sz w:val="24"/>
                <w:szCs w:val="24"/>
                <w:highlight w:val="none"/>
                <w:lang w:val="en-US" w:eastAsia="zh-CN"/>
              </w:rPr>
            </w:pPr>
            <w:r>
              <w:rPr>
                <w:rFonts w:ascii="仿宋" w:cs="仿宋" w:eastAsia="仿宋" w:hAnsi="仿宋" w:hint="eastAsia"/>
                <w:color w:val="auto"/>
                <w:sz w:val="24"/>
                <w:szCs w:val="24"/>
                <w:highlight w:val="none"/>
                <w:lang w:val="en-US" w:eastAsia="zh-CN"/>
              </w:rPr>
              <w:t>1.14可对患者进行权限设置，控制患者对云胶片的浏览和下载权限.</w:t>
            </w:r>
          </w:p>
          <w:p w14:paraId="7A4310DC">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1.15支持对每家医院的云胶片查看规则进行单独配置。</w:t>
            </w:r>
          </w:p>
          <w:p w14:paraId="00F0F88A">
            <w:pPr>
              <w:pStyle w:val="style0"/>
              <w:spacing w:lineRule="exact" w:line="440"/>
              <w:ind w:firstLine="480" w:firstLineChars="200"/>
              <w:rPr>
                <w:rFonts w:ascii="仿宋" w:cs="仿宋" w:eastAsia="仿宋" w:hAnsi="仿宋" w:hint="default"/>
                <w:color w:val="auto"/>
                <w:sz w:val="24"/>
                <w:szCs w:val="24"/>
                <w:highlight w:val="none"/>
                <w:lang w:val="en-US" w:eastAsia="zh-CN"/>
              </w:rPr>
            </w:pPr>
            <w:r>
              <w:rPr>
                <w:rFonts w:ascii="仿宋" w:cs="仿宋" w:eastAsia="仿宋" w:hAnsi="仿宋" w:hint="eastAsia"/>
                <w:color w:val="auto"/>
                <w:sz w:val="24"/>
                <w:szCs w:val="24"/>
                <w:highlight w:val="none"/>
                <w:lang w:val="en-US" w:eastAsia="zh-CN"/>
              </w:rPr>
              <w:t>1.16对接区域影像中心后实现的平台功能。</w:t>
            </w:r>
          </w:p>
          <w:p w14:paraId="2346B93A">
            <w:pPr>
              <w:pStyle w:val="style28"/>
              <w:rPr>
                <w:rFonts w:ascii="仿宋" w:cs="仿宋" w:eastAsia="仿宋" w:hAnsi="仿宋" w:hint="eastAsia"/>
                <w:b/>
                <w:bCs/>
                <w:i w:val="false"/>
                <w:iCs w:val="false"/>
                <w:color w:val="auto"/>
                <w:kern w:val="0"/>
                <w:sz w:val="24"/>
                <w:szCs w:val="24"/>
                <w:highlight w:val="none"/>
                <w:u w:val="none"/>
                <w:lang w:val="en-US" w:eastAsia="zh-CN"/>
              </w:rPr>
            </w:pPr>
            <w:r>
              <w:rPr>
                <w:rFonts w:ascii="仿宋" w:cs="仿宋" w:eastAsia="仿宋" w:hAnsi="仿宋" w:hint="eastAsia"/>
                <w:b/>
                <w:bCs/>
                <w:i w:val="false"/>
                <w:iCs w:val="false"/>
                <w:color w:val="auto"/>
                <w:kern w:val="0"/>
                <w:sz w:val="24"/>
                <w:szCs w:val="24"/>
                <w:highlight w:val="none"/>
                <w:u w:val="none"/>
                <w:lang w:val="en-US" w:eastAsia="zh-CN"/>
              </w:rPr>
              <w:t>2.影像云共享</w:t>
            </w:r>
          </w:p>
          <w:p w14:paraId="78DDDED1">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2.1支持患者分享自己的原始影像信息、报告。</w:t>
            </w:r>
          </w:p>
          <w:p w14:paraId="56A9E32C">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2.2支持患者查看及分享历史检查记录。</w:t>
            </w:r>
          </w:p>
          <w:p w14:paraId="3AB708E7">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2.3支持以家庭为单位共享影像检查档案。</w:t>
            </w:r>
          </w:p>
          <w:p w14:paraId="181E5BDC">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2.4支持数据分享时进行加密设置。</w:t>
            </w:r>
          </w:p>
          <w:p w14:paraId="18D022A9">
            <w:pPr>
              <w:pStyle w:val="style0"/>
              <w:spacing w:lineRule="exact" w:line="440"/>
              <w:ind w:firstLine="480" w:firstLineChars="200"/>
              <w:rPr>
                <w:rFonts w:ascii="仿宋" w:cs="仿宋" w:eastAsia="仿宋" w:hAnsi="仿宋" w:hint="default"/>
                <w:color w:val="auto"/>
                <w:sz w:val="24"/>
                <w:szCs w:val="24"/>
                <w:highlight w:val="none"/>
                <w:lang w:val="en-US" w:eastAsia="zh-CN"/>
              </w:rPr>
            </w:pPr>
            <w:r>
              <w:rPr>
                <w:rFonts w:ascii="仿宋" w:cs="仿宋" w:eastAsia="仿宋" w:hAnsi="仿宋" w:hint="eastAsia"/>
                <w:color w:val="auto"/>
                <w:sz w:val="24"/>
                <w:szCs w:val="24"/>
                <w:highlight w:val="none"/>
                <w:lang w:val="en-US" w:eastAsia="zh-CN"/>
              </w:rPr>
              <w:t>2.5支持数据分享时进行匿名化设置。</w:t>
            </w:r>
          </w:p>
          <w:p w14:paraId="0C753749">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2.6支持数据分享时设置有效时限。</w:t>
            </w:r>
          </w:p>
          <w:p w14:paraId="4DEEC3CD">
            <w:pPr>
              <w:pStyle w:val="style0"/>
              <w:spacing w:lineRule="exact" w:line="440"/>
              <w:ind w:firstLine="480" w:firstLineChars="200"/>
              <w:rPr>
                <w:rFonts w:ascii="仿宋" w:cs="仿宋" w:eastAsia="仿宋" w:hAnsi="仿宋" w:hint="default"/>
                <w:color w:val="auto"/>
                <w:sz w:val="24"/>
                <w:szCs w:val="24"/>
                <w:highlight w:val="none"/>
                <w:lang w:val="en-US" w:eastAsia="zh-CN"/>
              </w:rPr>
            </w:pPr>
            <w:r>
              <w:rPr>
                <w:rFonts w:ascii="仿宋" w:cs="仿宋" w:eastAsia="仿宋" w:hAnsi="仿宋" w:hint="eastAsia"/>
                <w:color w:val="auto"/>
                <w:sz w:val="24"/>
                <w:szCs w:val="24"/>
                <w:highlight w:val="none"/>
                <w:lang w:val="en-US" w:eastAsia="zh-CN"/>
              </w:rPr>
              <w:t>2.7对接区域影像中心后实现的平台功能。</w:t>
            </w:r>
          </w:p>
          <w:p w14:paraId="6BC3D3C3">
            <w:pPr>
              <w:pStyle w:val="style28"/>
              <w:ind w:left="0" w:leftChars="0" w:firstLine="0" w:firstLineChars="0"/>
              <w:rPr>
                <w:rFonts w:ascii="仿宋" w:cs="仿宋" w:eastAsia="仿宋" w:hAnsi="仿宋" w:hint="eastAsia"/>
                <w:b/>
                <w:bCs/>
                <w:i w:val="false"/>
                <w:iCs w:val="false"/>
                <w:color w:val="auto"/>
                <w:kern w:val="0"/>
                <w:sz w:val="24"/>
                <w:szCs w:val="24"/>
                <w:highlight w:val="none"/>
                <w:u w:val="none"/>
                <w:lang w:val="en-US" w:eastAsia="zh-CN"/>
              </w:rPr>
            </w:pPr>
            <w:r>
              <w:rPr>
                <w:rFonts w:ascii="仿宋" w:cs="仿宋" w:eastAsia="仿宋" w:hAnsi="仿宋" w:hint="eastAsia"/>
                <w:b/>
                <w:bCs/>
                <w:i w:val="false"/>
                <w:iCs w:val="false"/>
                <w:color w:val="auto"/>
                <w:kern w:val="0"/>
                <w:sz w:val="24"/>
                <w:szCs w:val="24"/>
                <w:highlight w:val="none"/>
                <w:u w:val="none"/>
                <w:lang w:val="en-US" w:eastAsia="zh-CN"/>
              </w:rPr>
              <w:t>六、</w:t>
            </w:r>
            <w:r>
              <w:rPr>
                <w:rFonts w:ascii="仿宋" w:cs="仿宋" w:eastAsia="仿宋" w:hAnsi="仿宋" w:hint="eastAsia"/>
                <w:b/>
                <w:bCs/>
                <w:i w:val="false"/>
                <w:iCs w:val="false"/>
                <w:color w:val="000000"/>
                <w:kern w:val="0"/>
                <w:sz w:val="24"/>
                <w:szCs w:val="24"/>
                <w:highlight w:val="none"/>
                <w:u w:val="none"/>
                <w:lang w:val="en-US" w:eastAsia="zh-CN"/>
              </w:rPr>
              <w:t>区域医学影像质控中心</w:t>
            </w:r>
          </w:p>
          <w:p w14:paraId="6FE2545B">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1.支持业务量统计分析功能。</w:t>
            </w:r>
          </w:p>
          <w:p w14:paraId="6D68A9F3">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2.支持检查影像、报告质控评分功能。</w:t>
            </w:r>
          </w:p>
          <w:p w14:paraId="328A16C6">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3.支持对检查类型，指定日期进行随机抽取。</w:t>
            </w:r>
          </w:p>
          <w:p w14:paraId="177E8EA3">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4.支持对随机抽取数据进行筛选和统计。</w:t>
            </w:r>
          </w:p>
          <w:p w14:paraId="0C18BFA0">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5.支持对随机抽取数据进行摄片评分及诊断评分。</w:t>
            </w:r>
          </w:p>
          <w:p w14:paraId="37DF02A0">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6.支持对各医院检查数据进行随机或连续性抽查，查看患者信息、申请单内容、影像及报告，并进行质控评分。</w:t>
            </w:r>
          </w:p>
          <w:p w14:paraId="1D89A1C9">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7.支持质控中心向被质控医院提出调整意见，被质控医院用户上线后可以看到整改意见。</w:t>
            </w:r>
          </w:p>
          <w:p w14:paraId="49711E5F">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8.支持质控中心可以通过室间质控，对该医院的检查再次抽取进行评分，评分结果可以与历史评分进行比较。</w:t>
            </w:r>
          </w:p>
          <w:p w14:paraId="492304BA">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9.支持阳性患者信息提醒。</w:t>
            </w:r>
          </w:p>
          <w:p w14:paraId="79F3F2BA">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10.支持评分项自定义。</w:t>
            </w:r>
          </w:p>
          <w:p w14:paraId="0FC53F30">
            <w:pPr>
              <w:pStyle w:val="style0"/>
              <w:spacing w:lineRule="exact" w:line="440"/>
              <w:ind w:firstLine="480" w:firstLineChars="200"/>
              <w:rPr>
                <w:rFonts w:ascii="仿宋" w:cs="仿宋" w:eastAsia="仿宋" w:hAnsi="仿宋" w:hint="default"/>
                <w:color w:val="auto"/>
                <w:sz w:val="24"/>
                <w:szCs w:val="24"/>
                <w:highlight w:val="none"/>
                <w:lang w:val="en-US" w:eastAsia="zh-CN"/>
              </w:rPr>
            </w:pPr>
            <w:r>
              <w:rPr>
                <w:rFonts w:ascii="仿宋" w:cs="仿宋" w:eastAsia="仿宋" w:hAnsi="仿宋" w:hint="eastAsia"/>
                <w:color w:val="auto"/>
                <w:sz w:val="24"/>
                <w:szCs w:val="24"/>
                <w:highlight w:val="none"/>
                <w:lang w:val="en-US" w:eastAsia="zh-CN"/>
              </w:rPr>
              <w:t>11.对接区域影像中心后实现的平台功能。</w:t>
            </w:r>
          </w:p>
          <w:p w14:paraId="1C60428E">
            <w:pPr>
              <w:pStyle w:val="style28"/>
              <w:ind w:left="0" w:leftChars="0" w:firstLine="0" w:firstLineChars="0"/>
              <w:rPr>
                <w:rFonts w:ascii="仿宋" w:cs="仿宋" w:eastAsia="仿宋" w:hAnsi="仿宋" w:hint="eastAsia"/>
                <w:b/>
                <w:bCs/>
                <w:i w:val="false"/>
                <w:iCs w:val="false"/>
                <w:color w:val="auto"/>
                <w:kern w:val="0"/>
                <w:sz w:val="24"/>
                <w:szCs w:val="24"/>
                <w:highlight w:val="none"/>
                <w:u w:val="none"/>
                <w:lang w:val="en-US" w:eastAsia="zh-CN"/>
              </w:rPr>
            </w:pPr>
            <w:r>
              <w:rPr>
                <w:rFonts w:ascii="仿宋" w:cs="仿宋" w:eastAsia="仿宋" w:hAnsi="仿宋" w:hint="eastAsia"/>
                <w:b/>
                <w:bCs/>
                <w:i w:val="false"/>
                <w:iCs w:val="false"/>
                <w:color w:val="auto"/>
                <w:kern w:val="0"/>
                <w:sz w:val="24"/>
                <w:szCs w:val="24"/>
                <w:highlight w:val="none"/>
                <w:u w:val="none"/>
                <w:lang w:val="en-US" w:eastAsia="zh-CN"/>
              </w:rPr>
              <w:t>七、</w:t>
            </w:r>
            <w:r>
              <w:rPr>
                <w:rFonts w:ascii="仿宋" w:cs="仿宋" w:eastAsia="仿宋" w:hAnsi="仿宋" w:hint="eastAsia"/>
                <w:b/>
                <w:bCs/>
                <w:i w:val="false"/>
                <w:iCs w:val="false"/>
                <w:color w:val="000000"/>
                <w:kern w:val="0"/>
                <w:sz w:val="24"/>
                <w:szCs w:val="24"/>
                <w:highlight w:val="none"/>
                <w:u w:val="none"/>
                <w:lang w:val="en-US" w:eastAsia="zh-CN"/>
              </w:rPr>
              <w:t>区域影像业务监管支持</w:t>
            </w:r>
          </w:p>
          <w:p w14:paraId="1A202DE3">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1.支持区域影像业务数据BI展示。</w:t>
            </w:r>
          </w:p>
          <w:p w14:paraId="1FDBFD4C">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2.支持查看大数据平台名称、平台所有检查量和所有调阅次数。</w:t>
            </w:r>
          </w:p>
          <w:p w14:paraId="2A2C7664">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3.支持以地图方式展示医院和区域，可对医院区域进行选择。</w:t>
            </w:r>
          </w:p>
          <w:p w14:paraId="3C78351B">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4.支持查看上传的检查数据，数据包含：检查医院、姓名、检查时间、检查类型等。</w:t>
            </w:r>
          </w:p>
          <w:p w14:paraId="312560BE">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5.支持医院查询。</w:t>
            </w:r>
          </w:p>
          <w:p w14:paraId="326E0D91">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6.支持当日数据统计。</w:t>
            </w:r>
          </w:p>
          <w:p w14:paraId="15449983">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7.支持24小时检查人次统计。</w:t>
            </w:r>
          </w:p>
          <w:p w14:paraId="3067DF60">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8.支持数据汇总统计。</w:t>
            </w:r>
          </w:p>
          <w:p w14:paraId="0D811FAA">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9.支持月检查量趋势分析。</w:t>
            </w:r>
          </w:p>
          <w:p w14:paraId="285BA916">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10.支持医院排名功能。</w:t>
            </w:r>
          </w:p>
          <w:p w14:paraId="5BC38374">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11.支持导出打印当前图表。</w:t>
            </w:r>
          </w:p>
          <w:p w14:paraId="00287F10">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▲12.支持按自定义的预警条件进行预警，例如一段时间内医院无数据上传，在大数据平台显示预警信息。</w:t>
            </w:r>
          </w:p>
          <w:p w14:paraId="3EC857FA">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13.支持区域患者扫码调阅数量统计，主管部门可实时调阅统计数据。</w:t>
            </w:r>
          </w:p>
          <w:p w14:paraId="10615A65">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▲14.支持各医院云上检查数据被其他医院调阅次数占检查量的比例显示，并能进行排序。</w:t>
            </w:r>
          </w:p>
          <w:p w14:paraId="303D9E19">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▲15.支持各医院患者调用次数和占当天检查量的比例显示，并能进行排序。</w:t>
            </w:r>
          </w:p>
          <w:p w14:paraId="3FCEB569">
            <w:pPr>
              <w:pStyle w:val="style0"/>
              <w:numPr>
                <w:ilvl w:val="0"/>
                <w:numId w:val="0"/>
              </w:numPr>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16.支持根据检查类型和检查时间对云归档系统上的数据进行统计，支持以表格的形式展现各类型检查在指定时间范围内的检查次数等，且可输出为表格文件并打印。</w:t>
            </w:r>
          </w:p>
          <w:p w14:paraId="1E526468">
            <w:pPr>
              <w:pStyle w:val="style0"/>
              <w:numPr>
                <w:ilvl w:val="0"/>
                <w:numId w:val="0"/>
              </w:numPr>
              <w:spacing w:lineRule="exact" w:line="440"/>
              <w:rPr>
                <w:rFonts w:ascii="仿宋" w:cs="仿宋" w:eastAsia="仿宋" w:hAnsi="仿宋" w:hint="default"/>
                <w:color w:val="auto"/>
                <w:sz w:val="24"/>
                <w:szCs w:val="24"/>
                <w:highlight w:val="none"/>
                <w:lang w:val="en-US" w:eastAsia="zh-CN"/>
              </w:rPr>
            </w:pPr>
            <w:r>
              <w:rPr>
                <w:rFonts w:ascii="仿宋" w:cs="仿宋" w:eastAsia="仿宋" w:hAnsi="仿宋" w:hint="eastAsia"/>
                <w:color w:val="auto"/>
                <w:sz w:val="24"/>
                <w:szCs w:val="24"/>
                <w:highlight w:val="none"/>
                <w:lang w:val="en-US" w:eastAsia="zh-CN"/>
              </w:rPr>
              <w:t xml:space="preserve">    </w:t>
            </w:r>
            <w:bookmarkStart w:id="0" w:name="_GoBack"/>
            <w:r>
              <w:rPr>
                <w:rFonts w:ascii="仿宋" w:cs="仿宋" w:eastAsia="仿宋" w:hAnsi="仿宋" w:hint="eastAsia"/>
                <w:color w:val="auto"/>
                <w:sz w:val="24"/>
                <w:szCs w:val="24"/>
                <w:highlight w:val="none"/>
                <w:lang w:val="en-US" w:eastAsia="zh-CN"/>
              </w:rPr>
              <w:t>17.对接区域影像中心后实现的平台功能。</w:t>
            </w:r>
            <w:bookmarkEnd w:id="0"/>
          </w:p>
          <w:p w14:paraId="4910ED18">
            <w:pPr>
              <w:pStyle w:val="style28"/>
              <w:ind w:left="0" w:leftChars="0" w:firstLine="0" w:firstLineChars="0"/>
              <w:rPr>
                <w:rFonts w:ascii="仿宋" w:cs="仿宋" w:eastAsia="仿宋" w:hAnsi="仿宋" w:hint="eastAsia"/>
                <w:b/>
                <w:bCs/>
                <w:i w:val="false"/>
                <w:iCs w:val="false"/>
                <w:color w:val="auto"/>
                <w:kern w:val="0"/>
                <w:sz w:val="24"/>
                <w:szCs w:val="24"/>
                <w:highlight w:val="none"/>
                <w:u w:val="none"/>
                <w:lang w:val="en-US" w:eastAsia="zh-CN"/>
              </w:rPr>
            </w:pPr>
            <w:r>
              <w:rPr>
                <w:rFonts w:ascii="仿宋" w:cs="仿宋" w:eastAsia="仿宋" w:hAnsi="仿宋" w:hint="eastAsia"/>
                <w:b/>
                <w:bCs/>
                <w:color w:val="auto"/>
                <w:sz w:val="24"/>
                <w:szCs w:val="24"/>
                <w:highlight w:val="none"/>
                <w:lang w:val="en-US" w:eastAsia="zh-CN"/>
              </w:rPr>
              <w:t>八、</w:t>
            </w:r>
            <w:r>
              <w:rPr>
                <w:rFonts w:ascii="仿宋" w:cs="仿宋" w:eastAsia="仿宋" w:hAnsi="仿宋" w:hint="eastAsia"/>
                <w:b/>
                <w:bCs/>
                <w:i w:val="false"/>
                <w:iCs w:val="false"/>
                <w:color w:val="auto"/>
                <w:kern w:val="0"/>
                <w:sz w:val="24"/>
                <w:szCs w:val="24"/>
                <w:highlight w:val="none"/>
                <w:u w:val="none"/>
                <w:lang w:val="en-US" w:eastAsia="zh-CN"/>
              </w:rPr>
              <w:t>安全模块</w:t>
            </w:r>
          </w:p>
          <w:p w14:paraId="01C6F42E">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1.支持存储对象的分片并发上传和下载，支持断点续传。</w:t>
            </w:r>
          </w:p>
          <w:p w14:paraId="4B61E230">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2.支持异地冗余。</w:t>
            </w:r>
          </w:p>
          <w:p w14:paraId="1D01F5C1">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3.支持多站点多活。</w:t>
            </w:r>
          </w:p>
          <w:p w14:paraId="51763097">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4.支持系统管理员进行用户角色设置和管理。</w:t>
            </w:r>
          </w:p>
          <w:p w14:paraId="7792BB52">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5.支持实时查看区域影像云平台的运行状态、异常告警、服务器状况、数据库性能等指标。</w:t>
            </w:r>
          </w:p>
          <w:p w14:paraId="22FB6EA9">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6.支持自定义告警阈值，告警信息能通过电子邮件、短信等形式自动发出（无需配置软件外部短信网关支持）。</w:t>
            </w:r>
          </w:p>
          <w:p w14:paraId="22BEA0CC">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7.支持漏洞扫描，含对云主机、云存储的配置核查、漏洞扫描、配置变更检查等。</w:t>
            </w:r>
          </w:p>
          <w:p w14:paraId="1596E2F3">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8.支持单点登录、访问授权、关键访问二次审批、违规访问告警与阻断、操作过程监控、历史记录查询、综合审计报告，支持SSH等协议。</w:t>
            </w:r>
          </w:p>
          <w:p w14:paraId="78850E34">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9.支持基于影像调阅行为管理的海量上网日志存储，对用户行为特征进行建模分析，对用户异常行为进行预警。</w:t>
            </w:r>
          </w:p>
          <w:p w14:paraId="2D829A56">
            <w:pPr>
              <w:pStyle w:val="style0"/>
              <w:spacing w:lineRule="exact" w:line="440"/>
              <w:ind w:firstLine="480" w:firstLineChars="200"/>
              <w:rPr>
                <w:rFonts w:ascii="仿宋" w:cs="仿宋" w:eastAsia="仿宋" w:hAnsi="仿宋" w:hint="default"/>
                <w:color w:val="auto"/>
                <w:sz w:val="24"/>
                <w:szCs w:val="24"/>
                <w:highlight w:val="none"/>
                <w:lang w:val="en-US" w:eastAsia="zh-CN"/>
              </w:rPr>
            </w:pPr>
            <w:r>
              <w:rPr>
                <w:rFonts w:ascii="仿宋" w:cs="仿宋" w:eastAsia="仿宋" w:hAnsi="仿宋" w:hint="eastAsia"/>
                <w:color w:val="auto"/>
                <w:sz w:val="24"/>
                <w:szCs w:val="24"/>
                <w:highlight w:val="none"/>
                <w:lang w:val="en-US" w:eastAsia="zh-CN"/>
              </w:rPr>
              <w:t>10.对接区域影像中心后实现的平台功能。</w:t>
            </w:r>
          </w:p>
        </w:tc>
      </w:tr>
      <w:tr w14:paraId="16B0B276">
        <w:tblPrEx/>
        <w:trPr>
          <w:trHeight w:val="408" w:hRule="atLeast"/>
          <w:jc w:val="center"/>
        </w:trPr>
        <w:tc>
          <w:tcPr>
            <w:tcW w:w="5000" w:type="pct"/>
            <w:gridSpan w:val="6"/>
            <w:tcBorders>
              <w:top w:val="single" w:sz="4" w:space="0" w:color="auto"/>
              <w:left w:val="single" w:sz="4" w:space="0" w:color="auto"/>
              <w:bottom w:val="single" w:sz="4" w:space="0" w:color="auto"/>
              <w:right w:val="single" w:sz="4" w:space="0" w:color="auto"/>
            </w:tcBorders>
            <w:vAlign w:val="center"/>
          </w:tcPr>
          <w:p w14:paraId="522D4216">
            <w:pPr>
              <w:pStyle w:val="style0"/>
              <w:spacing w:lineRule="exact" w:line="440"/>
              <w:ind w:firstLine="480" w:firstLineChars="200"/>
              <w:rPr>
                <w:rFonts w:ascii="仿宋" w:cs="仿宋" w:eastAsia="仿宋" w:hAnsi="仿宋" w:hint="eastAsia"/>
                <w:color w:val="auto"/>
                <w:szCs w:val="21"/>
                <w:highlight w:val="none"/>
                <w:lang w:val="en-US" w:eastAsia="zh-CN"/>
              </w:rPr>
            </w:pPr>
            <w:r>
              <w:rPr>
                <w:rFonts w:ascii="仿宋" w:cs="仿宋" w:eastAsia="仿宋" w:hAnsi="仿宋" w:hint="eastAsia"/>
                <w:color w:val="auto"/>
                <w:sz w:val="24"/>
                <w:highlight w:val="none"/>
              </w:rPr>
              <w:t>▲</w:t>
            </w:r>
            <w:r>
              <w:rPr>
                <w:rFonts w:ascii="仿宋" w:cs="仿宋" w:eastAsia="仿宋" w:hAnsi="仿宋" w:hint="eastAsia"/>
                <w:b/>
                <w:bCs/>
                <w:color w:val="auto"/>
                <w:sz w:val="24"/>
                <w:szCs w:val="24"/>
                <w:highlight w:val="none"/>
                <w:lang w:val="en-US" w:eastAsia="zh-CN"/>
              </w:rPr>
              <w:t>一、商务要求</w:t>
            </w:r>
          </w:p>
        </w:tc>
      </w:tr>
      <w:tr w14:paraId="33403835">
        <w:tblPrEx/>
        <w:trPr>
          <w:trHeight w:val="408" w:hRule="atLeast"/>
          <w:jc w:val="center"/>
        </w:trPr>
        <w:tc>
          <w:tcPr>
            <w:tcW w:w="1174" w:type="pct"/>
            <w:gridSpan w:val="4"/>
            <w:tcBorders>
              <w:top w:val="single" w:sz="4" w:space="0" w:color="auto"/>
              <w:left w:val="single" w:sz="4" w:space="0" w:color="auto"/>
              <w:bottom w:val="single" w:sz="4" w:space="0" w:color="auto"/>
              <w:right w:val="single" w:sz="4" w:space="0" w:color="auto"/>
            </w:tcBorders>
            <w:vAlign w:val="center"/>
          </w:tcPr>
          <w:p w14:paraId="68009A61">
            <w:pPr>
              <w:pStyle w:val="style0"/>
              <w:spacing w:lineRule="exact" w:line="260"/>
              <w:jc w:val="center"/>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highlight w:val="none"/>
              </w:rPr>
              <w:t>服务期及地点</w:t>
            </w:r>
          </w:p>
        </w:tc>
        <w:tc>
          <w:tcPr>
            <w:tcW w:w="3825" w:type="pct"/>
            <w:gridSpan w:val="2"/>
            <w:tcBorders>
              <w:top w:val="single" w:sz="4" w:space="0" w:color="auto"/>
              <w:left w:val="single" w:sz="4" w:space="0" w:color="auto"/>
              <w:bottom w:val="single" w:sz="4" w:space="0" w:color="auto"/>
              <w:right w:val="single" w:sz="4" w:space="0" w:color="auto"/>
            </w:tcBorders>
            <w:vAlign w:val="center"/>
          </w:tcPr>
          <w:p w14:paraId="2AC7D137">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1.服务期限：采购合同签订后30日个工作日内完成所有系统的安装、调试和验收合格并交付使用（从与医院HIS系统对接完成之日起算），服务期1年。</w:t>
            </w:r>
          </w:p>
          <w:p w14:paraId="5C22C300">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2.服务地点：采购人指定地点。</w:t>
            </w:r>
          </w:p>
        </w:tc>
      </w:tr>
      <w:tr w14:paraId="6BE75DE3">
        <w:tblPrEx/>
        <w:trPr>
          <w:trHeight w:val="408" w:hRule="atLeast"/>
          <w:jc w:val="center"/>
        </w:trPr>
        <w:tc>
          <w:tcPr>
            <w:tcW w:w="1174" w:type="pct"/>
            <w:gridSpan w:val="4"/>
            <w:tcBorders>
              <w:top w:val="single" w:sz="4" w:space="0" w:color="auto"/>
              <w:left w:val="single" w:sz="4" w:space="0" w:color="auto"/>
              <w:bottom w:val="single" w:sz="4" w:space="0" w:color="auto"/>
              <w:right w:val="single" w:sz="4" w:space="0" w:color="auto"/>
            </w:tcBorders>
            <w:vAlign w:val="center"/>
          </w:tcPr>
          <w:p w14:paraId="46B4832B">
            <w:pPr>
              <w:pStyle w:val="style0"/>
              <w:spacing w:lineRule="exact" w:line="260"/>
              <w:jc w:val="center"/>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报价要求</w:t>
            </w:r>
          </w:p>
        </w:tc>
        <w:tc>
          <w:tcPr>
            <w:tcW w:w="3825" w:type="pct"/>
            <w:gridSpan w:val="2"/>
            <w:tcBorders>
              <w:top w:val="single" w:sz="4" w:space="0" w:color="auto"/>
              <w:left w:val="single" w:sz="4" w:space="0" w:color="auto"/>
              <w:bottom w:val="single" w:sz="4" w:space="0" w:color="auto"/>
              <w:right w:val="single" w:sz="4" w:space="0" w:color="auto"/>
            </w:tcBorders>
            <w:vAlign w:val="center"/>
          </w:tcPr>
          <w:p w14:paraId="2B5D411A">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highlight w:val="none"/>
              </w:rPr>
              <w:t>包括货物及服务采购、标准附件、备品备件、专用工具、软件提供、辅料、耗材、运输、保管、设计、开发、施工、安装、调试、验收、培训等各种费用和售后服务、税金及咨询服务等费用全部包含。</w:t>
            </w:r>
          </w:p>
        </w:tc>
      </w:tr>
      <w:tr w14:paraId="599C7A50">
        <w:tblPrEx/>
        <w:trPr>
          <w:trHeight w:val="408" w:hRule="atLeast"/>
          <w:jc w:val="center"/>
        </w:trPr>
        <w:tc>
          <w:tcPr>
            <w:tcW w:w="1174" w:type="pct"/>
            <w:gridSpan w:val="4"/>
            <w:tcBorders>
              <w:top w:val="single" w:sz="4" w:space="0" w:color="auto"/>
              <w:left w:val="single" w:sz="4" w:space="0" w:color="auto"/>
              <w:bottom w:val="single" w:sz="4" w:space="0" w:color="auto"/>
              <w:right w:val="single" w:sz="4" w:space="0" w:color="auto"/>
            </w:tcBorders>
            <w:vAlign w:val="center"/>
          </w:tcPr>
          <w:p w14:paraId="4985A361">
            <w:pPr>
              <w:pStyle w:val="style0"/>
              <w:spacing w:lineRule="exact" w:line="260"/>
              <w:jc w:val="center"/>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质保期</w:t>
            </w:r>
          </w:p>
        </w:tc>
        <w:tc>
          <w:tcPr>
            <w:tcW w:w="3825" w:type="pct"/>
            <w:gridSpan w:val="2"/>
            <w:tcBorders>
              <w:top w:val="single" w:sz="4" w:space="0" w:color="auto"/>
              <w:left w:val="single" w:sz="4" w:space="0" w:color="auto"/>
              <w:bottom w:val="single" w:sz="4" w:space="0" w:color="auto"/>
              <w:right w:val="single" w:sz="4" w:space="0" w:color="auto"/>
            </w:tcBorders>
            <w:vAlign w:val="center"/>
          </w:tcPr>
          <w:p w14:paraId="29C9FFB0">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highlight w:val="none"/>
              </w:rPr>
              <w:t>质保期从验收合格之日起计算，所有软件质保期不少于</w:t>
            </w:r>
            <w:r>
              <w:rPr>
                <w:rFonts w:ascii="仿宋" w:cs="仿宋" w:eastAsia="仿宋" w:hAnsi="仿宋" w:hint="eastAsia"/>
                <w:color w:val="auto"/>
                <w:sz w:val="24"/>
                <w:highlight w:val="none"/>
                <w:lang w:val="en-US" w:eastAsia="zh-CN"/>
              </w:rPr>
              <w:t>一</w:t>
            </w:r>
            <w:r>
              <w:rPr>
                <w:rFonts w:ascii="仿宋" w:cs="仿宋" w:eastAsia="仿宋" w:hAnsi="仿宋" w:hint="eastAsia"/>
                <w:color w:val="auto"/>
                <w:sz w:val="24"/>
                <w:highlight w:val="none"/>
              </w:rPr>
              <w:t>年</w:t>
            </w:r>
            <w:r>
              <w:rPr>
                <w:rFonts w:ascii="仿宋" w:cs="仿宋" w:eastAsia="仿宋" w:hAnsi="仿宋" w:hint="eastAsia"/>
                <w:color w:val="auto"/>
                <w:sz w:val="24"/>
                <w:highlight w:val="none"/>
                <w:lang w:val="en-US" w:eastAsia="zh-CN"/>
              </w:rPr>
              <w:t>,</w:t>
            </w:r>
            <w:r>
              <w:rPr>
                <w:rFonts w:ascii="仿宋" w:cs="仿宋" w:eastAsia="仿宋" w:hAnsi="仿宋" w:hint="eastAsia"/>
                <w:color w:val="auto"/>
                <w:sz w:val="24"/>
                <w:highlight w:val="none"/>
              </w:rPr>
              <w:t>质保期内免费上门维修、免费更换零配件。产品有效使用期有规定使用时限期的，有效使用期应从验收合格之日起算，交货时生产企业需作出书面承诺，否则，采购人有权拒收货物和不予验收。</w:t>
            </w:r>
          </w:p>
        </w:tc>
      </w:tr>
      <w:tr w14:paraId="4D82ED1C">
        <w:tblPrEx/>
        <w:trPr>
          <w:trHeight w:val="408" w:hRule="atLeast"/>
          <w:jc w:val="center"/>
        </w:trPr>
        <w:tc>
          <w:tcPr>
            <w:tcW w:w="1174" w:type="pct"/>
            <w:gridSpan w:val="4"/>
            <w:tcBorders>
              <w:top w:val="single" w:sz="4" w:space="0" w:color="auto"/>
              <w:left w:val="single" w:sz="4" w:space="0" w:color="auto"/>
              <w:bottom w:val="single" w:sz="4" w:space="0" w:color="auto"/>
              <w:right w:val="single" w:sz="4" w:space="0" w:color="auto"/>
            </w:tcBorders>
            <w:vAlign w:val="center"/>
          </w:tcPr>
          <w:p w14:paraId="33C68672">
            <w:pPr>
              <w:pStyle w:val="style0"/>
              <w:spacing w:lineRule="exact" w:line="260"/>
              <w:jc w:val="center"/>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付款条件（进度和方式）</w:t>
            </w:r>
          </w:p>
        </w:tc>
        <w:tc>
          <w:tcPr>
            <w:tcW w:w="3825" w:type="pct"/>
            <w:gridSpan w:val="2"/>
            <w:tcBorders>
              <w:top w:val="single" w:sz="4" w:space="0" w:color="auto"/>
              <w:left w:val="single" w:sz="4" w:space="0" w:color="auto"/>
              <w:bottom w:val="single" w:sz="4" w:space="0" w:color="auto"/>
              <w:right w:val="single" w:sz="4" w:space="0" w:color="auto"/>
            </w:tcBorders>
            <w:vAlign w:val="center"/>
          </w:tcPr>
          <w:p w14:paraId="6DC3955C">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highlight w:val="none"/>
                <w:lang w:val="en-US" w:eastAsia="zh-CN"/>
              </w:rPr>
              <w:t>本项目无预付款，交货安装验收合格，成交供应商必须开具合法的全额发票，采购人正常使用满3个月付合同款的95%，余下合同款的5%质保期满后1年内无息付清。</w:t>
            </w:r>
          </w:p>
        </w:tc>
      </w:tr>
      <w:tr w14:paraId="6E34A72C">
        <w:tblPrEx/>
        <w:trPr>
          <w:trHeight w:val="408" w:hRule="atLeast"/>
          <w:jc w:val="center"/>
        </w:trPr>
        <w:tc>
          <w:tcPr>
            <w:tcW w:w="1174" w:type="pct"/>
            <w:gridSpan w:val="4"/>
            <w:tcBorders>
              <w:top w:val="single" w:sz="4" w:space="0" w:color="auto"/>
              <w:left w:val="single" w:sz="4" w:space="0" w:color="auto"/>
              <w:bottom w:val="single" w:sz="4" w:space="0" w:color="auto"/>
              <w:right w:val="single" w:sz="4" w:space="0" w:color="auto"/>
            </w:tcBorders>
            <w:vAlign w:val="center"/>
          </w:tcPr>
          <w:p w14:paraId="6D2E74C7">
            <w:pPr>
              <w:pStyle w:val="style0"/>
              <w:spacing w:lineRule="exact" w:line="260"/>
              <w:jc w:val="center"/>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售后服务</w:t>
            </w:r>
          </w:p>
        </w:tc>
        <w:tc>
          <w:tcPr>
            <w:tcW w:w="3825" w:type="pct"/>
            <w:gridSpan w:val="2"/>
            <w:tcBorders>
              <w:top w:val="single" w:sz="4" w:space="0" w:color="auto"/>
              <w:left w:val="single" w:sz="4" w:space="0" w:color="auto"/>
              <w:bottom w:val="single" w:sz="4" w:space="0" w:color="auto"/>
              <w:right w:val="single" w:sz="4" w:space="0" w:color="auto"/>
            </w:tcBorders>
            <w:vAlign w:val="center"/>
          </w:tcPr>
          <w:p w14:paraId="66CB40A5">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1.售后服务：</w:t>
            </w:r>
          </w:p>
          <w:p w14:paraId="5036981B">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（1）按国家有关规定实行产品“三包”；</w:t>
            </w:r>
          </w:p>
          <w:p w14:paraId="7F97F0CA">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（2）免费送货上门；</w:t>
            </w:r>
          </w:p>
          <w:p w14:paraId="7F00A9E0">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（3）提供2小时内电话支持响应，出现故障4小时内提供解决方案，8小时内到场维修。一般问题应在48小时内解决，重大问题或其它无法迅速解决的问题应在一周内解决。</w:t>
            </w:r>
          </w:p>
          <w:p w14:paraId="6DF4C9C6">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（4）质保期内定期回访以及维修；</w:t>
            </w:r>
          </w:p>
          <w:p w14:paraId="5F23421B">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（5）质保期内所有设备免费上门维修服务、免费更换零部件，免费提供应用软件升级；</w:t>
            </w:r>
          </w:p>
          <w:p w14:paraId="4C7583F6">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（6）提供终身维护；</w:t>
            </w:r>
          </w:p>
          <w:p w14:paraId="192B0461">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（7）其余按厂家承诺进行。</w:t>
            </w:r>
          </w:p>
          <w:p w14:paraId="3AFD6244">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2.免费培训：成交供应商负责免费培训使用人员和维护人员，内容包括设备及软件系统操作、日常维护，确保熟练掌握全部功能为止。</w:t>
            </w:r>
          </w:p>
          <w:p w14:paraId="762F9E2F">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3.免费安装调试：成交供应商负责本项目所有货物的安装、调试及项目整体测试、联调和开通，并在试运行结束后由成交供应商整理验收材料提交采购人验收。</w:t>
            </w:r>
          </w:p>
          <w:p w14:paraId="1DF204CF">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4.技术支持与服务：提供每周7×24小时技术响应服务，成交供应商应负责所售产品的售后服务，并提供至少一年的免费原厂保修服务；质保期内设备发生故障，维修或更换配件所需的全部费用由成交供应商承担；维修完毕后工程师及时填写维修报告，维修报告包括故障原因、处理情况及用户意见，维修报告由双方各持一份备案。</w:t>
            </w:r>
          </w:p>
          <w:p w14:paraId="52C901A6">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5.供应商须在响应文件中提供具体的售后服务方案（格式自拟）。</w:t>
            </w:r>
          </w:p>
        </w:tc>
      </w:tr>
      <w:tr w14:paraId="7624E53A">
        <w:tblPrEx/>
        <w:trPr>
          <w:trHeight w:val="408" w:hRule="atLeast"/>
          <w:jc w:val="center"/>
        </w:trPr>
        <w:tc>
          <w:tcPr>
            <w:tcW w:w="1174" w:type="pct"/>
            <w:gridSpan w:val="4"/>
            <w:tcBorders>
              <w:top w:val="single" w:sz="4" w:space="0" w:color="auto"/>
              <w:left w:val="single" w:sz="4" w:space="0" w:color="auto"/>
              <w:bottom w:val="single" w:sz="4" w:space="0" w:color="auto"/>
              <w:right w:val="single" w:sz="4" w:space="0" w:color="auto"/>
            </w:tcBorders>
            <w:vAlign w:val="center"/>
          </w:tcPr>
          <w:p w14:paraId="7A2A27F0">
            <w:pPr>
              <w:pStyle w:val="style0"/>
              <w:spacing w:lineRule="exact" w:line="260"/>
              <w:jc w:val="center"/>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合同签订时间</w:t>
            </w:r>
          </w:p>
        </w:tc>
        <w:tc>
          <w:tcPr>
            <w:tcW w:w="3825" w:type="pct"/>
            <w:gridSpan w:val="2"/>
            <w:tcBorders>
              <w:top w:val="single" w:sz="4" w:space="0" w:color="auto"/>
              <w:left w:val="single" w:sz="4" w:space="0" w:color="auto"/>
              <w:bottom w:val="single" w:sz="4" w:space="0" w:color="auto"/>
              <w:right w:val="single" w:sz="4" w:space="0" w:color="auto"/>
            </w:tcBorders>
            <w:vAlign w:val="center"/>
          </w:tcPr>
          <w:p w14:paraId="314EA4C4">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自中标通知书发出之日起25个日历日内</w:t>
            </w:r>
          </w:p>
        </w:tc>
      </w:tr>
      <w:tr w14:paraId="55D7BE83">
        <w:tblPrEx/>
        <w:trPr>
          <w:trHeight w:val="408" w:hRule="atLeast"/>
          <w:jc w:val="center"/>
        </w:trPr>
        <w:tc>
          <w:tcPr>
            <w:tcW w:w="1174" w:type="pct"/>
            <w:gridSpan w:val="4"/>
            <w:tcBorders>
              <w:top w:val="single" w:sz="4" w:space="0" w:color="auto"/>
              <w:left w:val="single" w:sz="4" w:space="0" w:color="auto"/>
              <w:bottom w:val="single" w:sz="4" w:space="0" w:color="auto"/>
              <w:right w:val="single" w:sz="4" w:space="0" w:color="auto"/>
            </w:tcBorders>
            <w:vAlign w:val="center"/>
          </w:tcPr>
          <w:p w14:paraId="176C3E09">
            <w:pPr>
              <w:pStyle w:val="style0"/>
              <w:spacing w:lineRule="exact" w:line="260"/>
              <w:jc w:val="center"/>
              <w:rPr>
                <w:rFonts w:ascii="仿宋" w:cs="仿宋" w:eastAsia="仿宋" w:hAnsi="仿宋" w:hint="eastAsia"/>
                <w:color w:val="auto"/>
                <w:sz w:val="24"/>
                <w:highlight w:val="none"/>
                <w:lang w:val="en-US" w:eastAsia="zh-CN"/>
              </w:rPr>
            </w:pPr>
            <w:r>
              <w:rPr>
                <w:rFonts w:ascii="仿宋" w:cs="仿宋" w:eastAsia="仿宋" w:hAnsi="仿宋" w:hint="eastAsia"/>
                <w:color w:val="auto"/>
                <w:sz w:val="24"/>
                <w:highlight w:val="none"/>
                <w:lang w:val="en-US" w:eastAsia="zh-CN"/>
              </w:rPr>
              <w:t>其它要求</w:t>
            </w:r>
          </w:p>
        </w:tc>
        <w:tc>
          <w:tcPr>
            <w:tcW w:w="3825" w:type="pct"/>
            <w:gridSpan w:val="2"/>
            <w:tcBorders>
              <w:top w:val="single" w:sz="4" w:space="0" w:color="auto"/>
              <w:left w:val="single" w:sz="4" w:space="0" w:color="auto"/>
              <w:bottom w:val="single" w:sz="4" w:space="0" w:color="auto"/>
              <w:right w:val="single" w:sz="4" w:space="0" w:color="auto"/>
            </w:tcBorders>
            <w:vAlign w:val="center"/>
          </w:tcPr>
          <w:p w14:paraId="077D749E">
            <w:pPr>
              <w:pStyle w:val="style4098"/>
              <w:spacing w:lineRule="auto" w:line="36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1.供应商提供的方案中的所有内容，不得包含任何侵犯第三者知识产权的材料。如发生侵权行为，供应商必须自行为其提供产品或服务侵犯其他专利人的专利成果承担相应法律责任，如因侵犯他人专利权造成采购人损失的，还应赔偿采购人相关损失。</w:t>
            </w:r>
          </w:p>
          <w:p w14:paraId="4A6D4063">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2.成交供应商自行负责项目实施过程中人身安全、财产安全、环境安全，一切安全管理责任。项目实施过程中造成的直接或间接损失，均由成交供应商自行承担。</w:t>
            </w:r>
          </w:p>
          <w:p w14:paraId="7035E6ED">
            <w:pPr>
              <w:pStyle w:val="style0"/>
              <w:spacing w:lineRule="exact" w:line="440"/>
              <w:ind w:firstLine="480" w:firstLineChars="200"/>
              <w:rPr>
                <w:rFonts w:ascii="仿宋" w:cs="仿宋" w:eastAsia="仿宋" w:hAnsi="仿宋" w:hint="eastAsia"/>
                <w:color w:val="auto"/>
                <w:sz w:val="24"/>
                <w:szCs w:val="24"/>
                <w:highlight w:val="none"/>
                <w:lang w:val="en-US" w:eastAsia="zh-CN"/>
              </w:rPr>
            </w:pPr>
            <w:r>
              <w:rPr>
                <w:rFonts w:ascii="仿宋" w:cs="仿宋" w:eastAsia="仿宋" w:hAnsi="仿宋" w:hint="eastAsia"/>
                <w:color w:val="auto"/>
                <w:sz w:val="24"/>
                <w:szCs w:val="24"/>
                <w:highlight w:val="none"/>
                <w:lang w:val="en-US" w:eastAsia="zh-CN"/>
              </w:rPr>
              <w:t>3.确保服务品质及服务能力，供应商提供拟派服务人员在采购设备及应用系统进行服务事项预检测。</w:t>
            </w:r>
          </w:p>
          <w:p w14:paraId="036150A7">
            <w:pPr>
              <w:pStyle w:val="style4098"/>
              <w:spacing w:lineRule="auto" w:line="360"/>
              <w:rPr>
                <w:rFonts w:ascii="仿宋" w:cs="仿宋" w:eastAsia="仿宋" w:hAnsi="仿宋" w:hint="eastAsia"/>
                <w:color w:val="auto"/>
                <w:highlight w:val="none"/>
                <w:lang w:val="en-US" w:eastAsia="zh-CN"/>
              </w:rPr>
            </w:pPr>
            <w:r>
              <w:rPr>
                <w:rFonts w:ascii="仿宋" w:cs="仿宋" w:eastAsia="仿宋" w:hAnsi="仿宋" w:hint="eastAsia"/>
                <w:color w:val="auto"/>
                <w:kern w:val="2"/>
                <w:sz w:val="24"/>
                <w:szCs w:val="24"/>
                <w:highlight w:val="none"/>
                <w:lang w:val="en-US" w:bidi="ar-SA" w:eastAsia="zh-CN"/>
              </w:rPr>
              <w:t>4.按国家有关规定、采购文件的服务要求、供应商的响应文件及承诺以及合同约定标准进行验收。符合现行国家相关标准、行业标准、地方标准或者其他标准、规范（本表未明确的技术要求和规范，按国家、行业的相关标准执行）。</w:t>
            </w:r>
          </w:p>
        </w:tc>
      </w:tr>
    </w:tbl>
    <w:p w14:paraId="40A81393">
      <w:pPr>
        <w:pStyle w:val="style0"/>
        <w:rPr>
          <w:highlight w:val="none"/>
        </w:rPr>
      </w:pPr>
    </w:p>
    <w:sectPr>
      <w:pgSz w:w="11906" w:h="16838" w:orient="portrait"/>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004020304"/>
    <w:charset w:val="86"/>
    <w:family w:val="auto"/>
    <w:pitch w:val="default"/>
    <w:sig w:usb0="E0002EFF" w:usb1="C000785B" w:usb2="00000009" w:usb3="00000000" w:csb0="400001FF" w:csb1="FFFF0000"/>
  </w:font>
  <w:font w:name="宋体">
    <w:altName w:val="宋体"/>
    <w:panose1 w:val="02010600030001010101"/>
    <w:charset w:val="b1"/>
    <w:family w:val="auto"/>
    <w:pitch w:val="default"/>
    <w:sig w:usb0="00000203" w:usb1="288F0000" w:usb2="00000006" w:usb3="00000000" w:csb0="00040001" w:csb1="00000000"/>
  </w:font>
  <w:font w:name="Wingdings">
    <w:altName w:val="Wingdings"/>
    <w:panose1 w:val="05000000000000000000"/>
    <w:charset w:val="02"/>
    <w:family w:val="auto"/>
    <w:pitch w:val="default"/>
    <w:sig w:usb0="00000000" w:usb1="00000000" w:usb2="00000000" w:usb3="00000000" w:csb0="80000000" w:csb1="00000000"/>
  </w:font>
  <w:font w:name="Arial">
    <w:altName w:val="Arial"/>
    <w:panose1 w:val="020b0604020002020204"/>
    <w:charset w:val="01"/>
    <w:family w:val="swiss"/>
    <w:pitch w:val="default"/>
    <w:sig w:usb0="E0002EFF" w:usb1="C000785B" w:usb2="00000009" w:usb3="00000000" w:csb0="400001FF" w:csb1="FFFF0000"/>
  </w:font>
  <w:font w:name="黑体">
    <w:altName w:val="黑体"/>
    <w:panose1 w:val="02010609060001010101"/>
    <w:charset w:val="86"/>
    <w:family w:val="auto"/>
    <w:pitch w:val="default"/>
    <w:sig w:usb0="800002BF" w:usb1="38CF7CFA" w:usb2="00000016" w:usb3="00000000" w:csb0="00040001" w:csb1="00000000"/>
  </w:font>
  <w:font w:name="Courier New">
    <w:altName w:val="Courier New"/>
    <w:panose1 w:val="02070309020002020404"/>
    <w:charset w:val="01"/>
    <w:family w:val="modern"/>
    <w:pitch w:val="default"/>
    <w:sig w:usb0="E0002EFF" w:usb1="C0007843" w:usb2="00000009" w:usb3="00000000" w:csb0="400001FF" w:csb1="FFFF0000"/>
  </w:font>
  <w:font w:name="Symbol">
    <w:altName w:val="Symbol"/>
    <w:panose1 w:val="05050102010007020507"/>
    <w:charset w:val="02"/>
    <w:family w:val="roman"/>
    <w:pitch w:val="default"/>
    <w:sig w:usb0="00000000" w:usb1="00000000" w:usb2="00000000" w:usb3="00000000" w:csb0="80000000" w:csb1="00000000"/>
  </w:font>
  <w:font w:name="Calibri">
    <w:altName w:val="Calibri"/>
    <w:panose1 w:val="020f0502020002030204"/>
    <w:charset w:val="00"/>
    <w:family w:val="swiss"/>
    <w:pitch w:val="default"/>
    <w:sig w:usb0="E4002EFF" w:usb1="C000247B" w:usb2="00000009" w:usb3="00000000" w:csb0="200001FF" w:csb1="00000000"/>
  </w:font>
  <w:font w:name="等线">
    <w:altName w:val="等线"/>
    <w:panose1 w:val="02010600030001010101"/>
    <w:charset w:val="86"/>
    <w:family w:val="auto"/>
    <w:pitch w:val="default"/>
    <w:sig w:usb0="A00002BF" w:usb1="38CF7CFA" w:usb2="00000016" w:usb3="00000000" w:csb0="0004000F" w:csb1="00000000"/>
  </w:font>
  <w:font w:name="仿宋_GB2312">
    <w:altName w:val="仿宋"/>
    <w:panose1 w:val="02010609030000010101"/>
    <w:charset w:val="86"/>
    <w:family w:val="modern"/>
    <w:pitch w:val="default"/>
    <w:sig w:usb0="00000000" w:usb1="00000000" w:usb2="00000000" w:usb3="00000000" w:csb0="00040000" w:csb1="00000000"/>
  </w:font>
  <w:font w:name="仿宋">
    <w:altName w:val="仿宋"/>
    <w:panose1 w:val="020106090600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w="http://schemas.openxmlformats.org/wordprocessingml/2006/main" xmlns:r="http://schemas.openxmlformats.org/officeDocument/2006/relationships" xmlns:m="http://schemas.openxmlformats.org/officeDocument/2006/math">
  <w:zoom w:percent="130"/>
  <w:embedSystemFonts/>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420"/>
  <w:drawingGridVerticalSpacing w:val="156"/>
  <w:displayHorizontalDrawingGridEvery w:val="1"/>
  <w:displayVerticalDrawingGridEvery w:val="1"/>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Times New Roman" w:cs="Times New Roman" w:eastAsia="宋体" w:hAnsi="Times New Roman"/>
      </w:rPr>
    </w:rPrDefault>
    <w:pPrDefault>
      <w:pPr/>
    </w:pPrDefault>
  </w:docDefaults>
  <w:style w:type="paragraph" w:default="1" w:styleId="style0">
    <w:name w:val="Normal"/>
    <w:next w:val="style0"/>
    <w:qFormat/>
    <w:uiPriority w:val="0"/>
    <w:pPr>
      <w:widowControl w:val="false"/>
      <w:jc w:val="both"/>
    </w:pPr>
    <w:rPr>
      <w:rFonts w:ascii="Times New Roman" w:cs="Times New Roman" w:eastAsia="宋体" w:hAnsi="Times New Roman"/>
      <w:kern w:val="2"/>
      <w:sz w:val="21"/>
      <w:szCs w:val="24"/>
      <w:lang w:val="en-US" w:bidi="ar-SA" w:eastAsia="zh-CN"/>
    </w:rPr>
  </w:style>
  <w:style w:type="character" w:default="1" w:styleId="style65">
    <w:name w:val="Default Paragraph Font"/>
    <w:next w:val="style65"/>
    <w:uiPriority w:val="0"/>
  </w:style>
  <w:style w:type="table" w:default="1" w:styleId="style105">
    <w:name w:val="Normal Table"/>
    <w:next w:val="style105"/>
    <w:qFormat/>
    <w:uiPriority w:val="0"/>
    <w:pPr/>
    <w:rPr/>
    <w:tblPr>
      <w:tblCellMar>
        <w:top w:w="0" w:type="dxa"/>
        <w:left w:w="108" w:type="dxa"/>
        <w:bottom w:w="0" w:type="dxa"/>
        <w:right w:w="108" w:type="dxa"/>
      </w:tblCellMar>
    </w:tblPr>
    <w:tcPr>
      <w:tcBorders/>
    </w:tcPr>
  </w:style>
  <w:style w:type="paragraph" w:styleId="style28">
    <w:name w:val="Normal Indent"/>
    <w:basedOn w:val="style0"/>
    <w:next w:val="style28"/>
    <w:qFormat/>
    <w:uiPriority w:val="0"/>
    <w:pPr>
      <w:ind w:firstLine="420"/>
    </w:pPr>
    <w:rPr>
      <w:szCs w:val="20"/>
    </w:rPr>
  </w:style>
  <w:style w:type="paragraph" w:styleId="style30">
    <w:name w:val="annotation text"/>
    <w:basedOn w:val="style0"/>
    <w:next w:val="style30"/>
    <w:qFormat/>
    <w:uiPriority w:val="99"/>
    <w:pPr>
      <w:jc w:val="left"/>
    </w:pPr>
    <w:rPr/>
  </w:style>
  <w:style w:type="paragraph" w:styleId="style66">
    <w:name w:val="Body Text"/>
    <w:basedOn w:val="style0"/>
    <w:next w:val="style78"/>
    <w:qFormat/>
    <w:uiPriority w:val="99"/>
    <w:pPr>
      <w:spacing w:after="120"/>
    </w:pPr>
    <w:rPr/>
  </w:style>
  <w:style w:type="paragraph" w:styleId="style78">
    <w:name w:val="Body Text First Indent 2"/>
    <w:basedOn w:val="style67"/>
    <w:next w:val="style78"/>
    <w:qFormat/>
    <w:uiPriority w:val="0"/>
    <w:pPr>
      <w:ind w:firstLine="420" w:firstLineChars="200"/>
    </w:pPr>
    <w:rPr/>
  </w:style>
  <w:style w:type="paragraph" w:styleId="style67">
    <w:name w:val="Body Text Indent"/>
    <w:basedOn w:val="style0"/>
    <w:next w:val="style37"/>
    <w:qFormat/>
    <w:uiPriority w:val="0"/>
    <w:pPr>
      <w:ind w:firstLine="830" w:firstLineChars="352"/>
    </w:pPr>
    <w:rPr>
      <w:rFonts w:ascii="仿宋_GB2312" w:eastAsia="仿宋_GB2312"/>
      <w:kern w:val="0"/>
      <w:sz w:val="32"/>
      <w:szCs w:val="20"/>
    </w:rPr>
  </w:style>
  <w:style w:type="paragraph" w:styleId="style37">
    <w:name w:val="envelope return"/>
    <w:basedOn w:val="style0"/>
    <w:next w:val="style37"/>
    <w:qFormat/>
    <w:uiPriority w:val="0"/>
    <w:pPr>
      <w:snapToGrid w:val="false"/>
    </w:pPr>
    <w:rPr>
      <w:rFonts w:ascii="Arial" w:hAnsi="Arial"/>
    </w:rPr>
  </w:style>
  <w:style w:type="paragraph" w:styleId="style32">
    <w:name w:val="footer"/>
    <w:basedOn w:val="style0"/>
    <w:next w:val="style32"/>
    <w:qFormat/>
    <w:uiPriority w:val="0"/>
    <w:pPr>
      <w:tabs>
        <w:tab w:val="center" w:leader="none" w:pos="4153"/>
        <w:tab w:val="right" w:leader="none" w:pos="8306"/>
      </w:tabs>
      <w:snapToGrid w:val="false"/>
      <w:jc w:val="left"/>
    </w:pPr>
    <w:rPr>
      <w:sz w:val="18"/>
      <w:szCs w:val="18"/>
    </w:rPr>
  </w:style>
  <w:style w:type="paragraph" w:customStyle="1" w:styleId="style4097">
    <w:name w:val="表格文字"/>
    <w:basedOn w:val="style67"/>
    <w:next w:val="style4097"/>
    <w:qFormat/>
    <w:uiPriority w:val="99"/>
    <w:pPr>
      <w:spacing w:before="25" w:after="25"/>
    </w:pPr>
    <w:rPr>
      <w:rFonts w:ascii="Calibri" w:hAnsi="Calibri"/>
      <w:bCs/>
      <w:spacing w:val="10"/>
      <w:sz w:val="24"/>
    </w:rPr>
  </w:style>
  <w:style w:type="paragraph" w:customStyle="1" w:styleId="style4098">
    <w:name w:val="首行缩进"/>
    <w:basedOn w:val="style0"/>
    <w:next w:val="style4098"/>
    <w:qFormat/>
    <w:uiPriority w:val="0"/>
    <w:pPr>
      <w:ind w:firstLine="480" w:firstLineChars="200"/>
    </w:pPr>
    <w:rPr/>
  </w:style>
  <w:style w:type="character" w:customStyle="1" w:styleId="style4099">
    <w:name w:val="font31"/>
    <w:basedOn w:val="style65"/>
    <w:next w:val="style4099"/>
    <w:qFormat/>
    <w:uiPriority w:val="0"/>
    <w:rPr>
      <w:rFonts w:ascii="仿宋" w:cs="仿宋" w:eastAsia="仿宋" w:hAnsi="仿宋" w:hint="eastAsia"/>
      <w:color w:val="000000"/>
      <w:sz w:val="24"/>
      <w:szCs w:val="24"/>
      <w:u w:val="none"/>
    </w:rPr>
  </w:style>
  <w:style w:type="character" w:customStyle="1" w:styleId="style4100">
    <w:name w:val="font41"/>
    <w:basedOn w:val="style65"/>
    <w:next w:val="style4100"/>
    <w:qFormat/>
    <w:uiPriority w:val="0"/>
    <w:rPr>
      <w:rFonts w:ascii="仿宋" w:cs="仿宋" w:eastAsia="仿宋" w:hAnsi="仿宋" w:hint="eastAsia"/>
      <w:color w:val="ff0000"/>
      <w:sz w:val="24"/>
      <w:szCs w:val="24"/>
      <w:u w:val="none"/>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Words>6204</Words>
  <Pages>11</Pages>
  <Characters>6879</Characters>
  <Application>WPS Office</Application>
  <DocSecurity>0</DocSecurity>
  <Paragraphs>251</Paragraphs>
  <ScaleCrop>false</ScaleCrop>
  <LinksUpToDate>false</LinksUpToDate>
  <CharactersWithSpaces>6887</CharactersWithSpaces>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2025-04-24T02:17:00Z</dcterms:created>
  <dc:creator>admin</dc:creator>
  <lastModifiedBy>HBP-AL00</lastModifiedBy>
  <dcterms:modified xsi:type="dcterms:W3CDTF">2025-04-24T09:03:08Z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eyJoZGlkIjoiZWMxNWI4OWRkZjNmMjY1ZmY2ODdkMDdkYTBkMGMyZWYiLCJ1c2VySWQiOiIzOTk1Mzg4MjIifQ==</vt:lpwstr>
  </property>
  <property fmtid="{D5CDD505-2E9C-101B-9397-08002B2CF9AE}" pid="4" name="ICV">
    <vt:lpwstr>B0838B8E5DA346AFAF792BE7D993E184_13</vt:lpwstr>
  </property>
</Properties>
</file>